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Cohesion</w:t>
      </w:r>
    </w:p>
    <w:p>
      <w:r>
        <w:rPr>
          <w:sz w:val="20"/>
        </w:rPr>
        <w:t>9 September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anti-muslim hostility, community resilience, improving social cohesion, tackling prejudice and racism, upholding uk values</w:t>
      </w:r>
    </w:p>
    <w:p>
      <w:r>
        <w:rPr>
          <w:b/>
        </w:rPr>
        <w:t xml:space="preserve">Source: </w:t>
      </w:r>
      <w:r>
        <w:rPr>
          <w:sz w:val="20"/>
        </w:rPr>
        <w:t>https://hansard.parliament.uk/Commons/2026-09-09/debates/669655D2-CD76-46AC-9AB9-2F73417C5987/SocialCohesion</w:t>
      </w:r>
    </w:p>
    <w:p/>
    <w:p>
      <w:r>
        <w:rPr>
          <w:b/>
          <w:color w:val="1A4A6E"/>
          <w:sz w:val="22"/>
        </w:rPr>
        <w:t>Ashley Dalton (Lab)</w:t>
      </w:r>
    </w:p>
    <w:p>
      <w:r>
        <w:rPr>
          <w:sz w:val="22"/>
        </w:rPr>
        <w:t>2. What steps she is taking with Cabinet colleagues to improve social cohesion.</w:t>
      </w:r>
    </w:p>
    <w:p/>
    <w:p>
      <w:r>
        <w:rPr>
          <w:b/>
          <w:color w:val="1A4A6E"/>
          <w:sz w:val="22"/>
        </w:rPr>
        <w:t>Bridget Phillipson (The Minister for Women and Equalities)</w:t>
      </w:r>
    </w:p>
    <w:p>
      <w:r>
        <w:rPr>
          <w:sz w:val="22"/>
        </w:rPr>
        <w:t>This Government will ensure that we protect and promote our values and build more confident, cohesive and resilient communities. I am working with colleagues across Government to deliver our initial plan, “Protecting What Matters” to uphold the UK’s social fabric and to give communities the tools they need to shape their own future. This Government will always seek to bring people together, not to divide our communities.</w:t>
      </w:r>
    </w:p>
    <w:p/>
    <w:p>
      <w:r>
        <w:rPr>
          <w:b/>
          <w:color w:val="1A4A6E"/>
          <w:sz w:val="22"/>
        </w:rPr>
        <w:t>Ashley Dalton</w:t>
      </w:r>
    </w:p>
    <w:p>
      <w:r>
        <w:rPr>
          <w:sz w:val="22"/>
        </w:rPr>
        <w:t>Will my right hon. Friend join me in welcoming Lancashire county councillor Nigel Swales from my constituency to the Labour party? Councillor Swales has defected to Labour from Reform because he knows Reform will not deliver, and we saw at its party conference last week men literally beating young women on the conference floor and spokespeople stirring up hatred. Does the Minister agree that Reform cannot be trusted to protect social cohesion?</w:t>
      </w:r>
    </w:p>
    <w:p/>
    <w:p>
      <w:r>
        <w:rPr>
          <w:b/>
          <w:color w:val="1A4A6E"/>
          <w:sz w:val="22"/>
        </w:rPr>
        <w:t>Bridget Phillipson</w:t>
      </w:r>
    </w:p>
    <w:p>
      <w:r>
        <w:rPr>
          <w:sz w:val="22"/>
        </w:rPr>
        <w:t>I welcome the growing number of people who are recognising that Reform simply does not have the answers to the challenges facing our country and are inspired by this Labour Government’s message of hope and optimism. There can be no place for violence or intimidation of women, whether on the Reform conference floor or anywhere else. I say to the House that this is not a laughing matter, and those in Reform who have sought in recent days to make light of such serious scenes should reflect very seriously on why they think it is appropriate, at one level, to say that violence against women is unacceptable—I agree—but then to allow it to take place at their own conference.</w:t>
      </w:r>
    </w:p>
    <w:p/>
    <w:p>
      <w:r>
        <w:rPr>
          <w:b/>
          <w:color w:val="1A4A6E"/>
          <w:sz w:val="22"/>
        </w:rPr>
        <w:t>Christine Jardine (LD)</w:t>
      </w:r>
    </w:p>
    <w:p>
      <w:r>
        <w:rPr>
          <w:sz w:val="22"/>
        </w:rPr>
        <w:t>In June, an individual went on an anti-Muslim rampage at sites in Edinburgh, and since then we have seen a surge in incidents, such as individuals using Nazi salutes at protests. When I spoke to the representatives of one of the mosques affected by the incidents, they said they fear there has been a catastrophic collapse in community cohesion in parts of the country. What are the Government doing on community cohesion? Does she agree that this is not a local problem just for local authorities or regional authorities to deal with, and that we must deal with it on a national scale?</w:t>
      </w:r>
    </w:p>
    <w:p/>
    <w:p>
      <w:r>
        <w:rPr>
          <w:b/>
          <w:color w:val="1A4A6E"/>
          <w:sz w:val="22"/>
        </w:rPr>
        <w:t>Bridget Phillipson</w:t>
      </w:r>
    </w:p>
    <w:p>
      <w:r>
        <w:rPr>
          <w:sz w:val="22"/>
        </w:rPr>
        <w:t>The hon. Lady is right: we must tackle prejudice, racism and intolerance in all its forms. I know that many of our Muslim communities have experienced unacceptable hatred and intimidation simply because they wish to go about their lives practising their religion and belief, as is at the cornerstone of everything that we as a nation should believe—the ability to worship, to practice your religion and to express those views peacefully. Whatever form that racism takes, we will challenge it. It is why we as a Government have been very clear that tackling anti-Muslim hostility is essential, alongside tackling the appalling antisemitism we have also seen, and ensuring that all our communities are vibrant, cohesive places in keeping with the best of our traditions.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