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Neurodivergent Women and Girls</w:t>
      </w:r>
    </w:p>
    <w:p>
      <w:r>
        <w:rPr>
          <w:sz w:val="20"/>
        </w:rPr>
        <w:t>9 September 2026  ·  Commons  ·  Oral Questions</w:t>
      </w:r>
    </w:p>
    <w:p>
      <w:r>
        <w:rPr>
          <w:b/>
        </w:rPr>
        <w:t xml:space="preserve">Policy areas: </w:t>
      </w:r>
      <w:r>
        <w:rPr>
          <w:sz w:val="20"/>
        </w:rPr>
        <w:t>Education, training and skills, Health and social care, Society and culture</w:t>
      </w:r>
    </w:p>
    <w:p>
      <w:r>
        <w:rPr>
          <w:b/>
        </w:rPr>
        <w:t xml:space="preserve">Topics: </w:t>
      </w:r>
      <w:r>
        <w:rPr>
          <w:sz w:val="20"/>
        </w:rPr>
        <w:t>dyslexia diagnosis gap, early identification of needs, neurodivergent women and girls, send reforms</w:t>
      </w:r>
    </w:p>
    <w:p>
      <w:r>
        <w:rPr>
          <w:b/>
        </w:rPr>
        <w:t xml:space="preserve">Source: </w:t>
      </w:r>
      <w:r>
        <w:rPr>
          <w:sz w:val="20"/>
        </w:rPr>
        <w:t>https://hansard.parliament.uk/Commons/2026-09-09/debates/C931E84A-7074-431E-B825-A1332E15170B/NeurodivergentWomenAndGirls</w:t>
      </w:r>
    </w:p>
    <w:p/>
    <w:p>
      <w:r>
        <w:rPr>
          <w:b/>
          <w:color w:val="1A4A6E"/>
          <w:sz w:val="22"/>
        </w:rPr>
        <w:t>Juliet Campbell (Lab)</w:t>
      </w:r>
    </w:p>
    <w:p>
      <w:r>
        <w:rPr>
          <w:sz w:val="22"/>
        </w:rPr>
        <w:t>8. What steps she is taking to help improve outcomes for neurodivergent women and girls.</w:t>
      </w:r>
    </w:p>
    <w:p/>
    <w:p>
      <w:r>
        <w:rPr>
          <w:b/>
          <w:color w:val="1A4A6E"/>
          <w:sz w:val="22"/>
        </w:rPr>
        <w:t>Sir Stephen Timms (The Minister for Equalities)</w:t>
      </w:r>
    </w:p>
    <w:p>
      <w:r>
        <w:rPr>
          <w:sz w:val="22"/>
        </w:rPr>
        <w:t>Autistic people and people with ADHD have been struggling to get the right support at the right time. Recommendations from Professor Karen Guldberg’s neurodivergence task and finish group directly informed the SEND reforms that were published earlier this year. We want schools and others to support young people to understand neurodivergent behaviours clearly, including how they differ between boys and girls, so that needs can be identified early and properly met.</w:t>
      </w:r>
    </w:p>
    <w:p/>
    <w:p>
      <w:r>
        <w:rPr>
          <w:b/>
          <w:color w:val="1A4A6E"/>
          <w:sz w:val="22"/>
        </w:rPr>
        <w:t>Juliet Campbell</w:t>
      </w:r>
    </w:p>
    <w:p>
      <w:r>
        <w:rPr>
          <w:sz w:val="22"/>
        </w:rPr>
        <w:t>I thank the Minister for his reply. However, people in Broxtowe, and across the country more widely, are concerned that dyslexia in women and girls is identified later than in boys. Too often, there is a lack of understanding of how dyslexia presents in girls, meaning that they are three times more likely to miss out on diagnosis, which creates barriers to supporting education and later life. What action is the Minister taking across Government to close the gap of diagnosis and improve the outcomes for dyslexic women and girls in education, health, employment and the criminal justice system?</w:t>
      </w:r>
    </w:p>
    <w:p/>
    <w:p>
      <w:r>
        <w:rPr>
          <w:b/>
          <w:color w:val="1A4A6E"/>
          <w:sz w:val="22"/>
        </w:rPr>
        <w:t>Sir Stephen Timms</w:t>
      </w:r>
    </w:p>
    <w:p>
      <w:r>
        <w:rPr>
          <w:sz w:val="22"/>
        </w:rPr>
        <w:t>Better outcomes require early identification and support for girls and young women with special educational needs, including dyslexia. That is the aim of the SEND reforms and the development of national inclusion standards. We will be supporting education providers to identify and respond to needs earlier and more consistently, drawing on a broad range of evidence and expertise, so that girls and young women can receive the support they need in good time to achieve and to thrive.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