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Act 2023 (Capital Buffers and Macro-prudential Measures) (Consequential Amendments) Regulations 2025</w:t>
      </w:r>
    </w:p>
    <w:p>
      <w:r>
        <w:rPr>
          <w:sz w:val="20"/>
        </w:rPr>
        <w:t>9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Economy, Finance and taxation</w:t>
      </w:r>
    </w:p>
    <w:p>
      <w:r>
        <w:rPr>
          <w:b/>
        </w:rPr>
        <w:t xml:space="preserve">Topics: </w:t>
      </w:r>
      <w:r>
        <w:rPr>
          <w:sz w:val="20"/>
        </w:rPr>
        <w:t>capital buffers, consequential amendments regulations, financial services and markets, macro-prudential measures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https://hansard.parliament.uk/Lords/2025-09-09/debates/2C69C9FA-FBEF-4FD0-8FA4-E9E965BF30A7/FinancialServicesAndMarketsAct2023CapitalBuffersAndMacroprudentialMeasuresConsequentialAmendmentsRegulations2025</w:t>
      </w:r>
    </w:p>
    <w:p/>
    <w:p>
      <w:r>
        <w:rPr>
          <w:b/>
          <w:color w:val="1A4A6E"/>
          <w:sz w:val="22"/>
        </w:rPr>
        <w:t>Lord Wilson of Sedgefield</w:t>
      </w:r>
    </w:p>
    <w:p>
      <w:r>
        <w:rPr>
          <w:sz w:val="22"/>
        </w:rPr>
        <w:t>That the draft Regulations laid before the House on 9 June and 3 July be approved. Considered in Grand Committee on 3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