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Buckinghamshire Council, Surrey County Council and Warwickshire County Council (Housing and Regeneration Functions) Regulations 2025</w:t>
      </w:r>
    </w:p>
    <w:p>
      <w:r>
        <w:rPr>
          <w:sz w:val="20"/>
        </w:rPr>
        <w:t>9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Housing and planning, Local government</w:t>
      </w:r>
    </w:p>
    <w:p>
      <w:r>
        <w:rPr>
          <w:b/>
        </w:rPr>
        <w:t xml:space="preserve">Topics: </w:t>
      </w:r>
      <w:r>
        <w:rPr>
          <w:sz w:val="20"/>
        </w:rPr>
        <w:t>housing and regeneration functions, local audit regulations, local government regulations, smaller authorities, smaller authority definition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https://hansard.parliament.uk/Lords/2025-09-09/debates/27FF996E-4C6F-42FA-AD50-19B520753F7F/BuckinghamshireCouncilSurreyCountyCouncilAndWarwickshireCountyCouncilHousingAndRegenerationFunctionsRegulations2025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draft Regulations laid before the House on 9 and 16 June be approved. Considered in Grand Committee on 3 September.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