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Buckinghamshire Council, Surrey County Council and Warwickshire County Council (Housing and Regeneration Functions) Regulations 2025</w:t>
      </w:r>
    </w:p>
    <w:p>
      <w:r>
        <w:rPr>
          <w:sz w:val="20"/>
        </w:rPr>
        <w:t>9 September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Government and public administration, Housing and planning, Local government</w:t>
      </w:r>
    </w:p>
    <w:p>
      <w:r>
        <w:rPr>
          <w:b/>
        </w:rPr>
        <w:t xml:space="preserve">Topics: </w:t>
      </w:r>
      <w:r>
        <w:rPr>
          <w:sz w:val="20"/>
        </w:rPr>
        <w:t>housing and regeneration functions, local audit regulations, local government regulations, smaller authorities, smaller authority definition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https://hansard.parliament.uk/Lords/2025-09-09/debates/27FF996E-4C6F-42FA-AD50-19B520753F7F/BuckinghamshireCouncilSurreyCountyCouncilAndWarwickshireCountyCouncilHousingAndRegenerationFunctionsRegulations2025</w:t>
      </w:r>
    </w:p>
    <w:p/>
    <w:p>
      <w:r>
        <w:rPr>
          <w:b/>
          <w:color w:val="1A4A6E"/>
          <w:sz w:val="22"/>
        </w:rPr>
        <w:t>Baroness Taylor of Stevenage</w:t>
      </w:r>
    </w:p>
    <w:p>
      <w:r>
        <w:rPr>
          <w:sz w:val="22"/>
        </w:rPr>
        <w:t>That the draft Regulations laid before the House on 9 and 16 June be approved. Considered in Grand Committee on 3 September.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