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9 Sept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procedure, parliamentary divis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09/debates/34EE34B0-BE37-4C03-8D0B-552EE5F384A8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as is customary on these occasions, I must advise the Grand Committee that in the unlikely event—these are my parentheses—of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