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State Pension</w:t>
      </w:r>
    </w:p>
    <w:p>
      <w:r>
        <w:rPr>
          <w:sz w:val="20"/>
        </w:rPr>
        <w:t>9 March 2026  ·  Commons  ·  Oral Questions</w:t>
      </w:r>
    </w:p>
    <w:p>
      <w:r>
        <w:rPr>
          <w:b/>
        </w:rPr>
        <w:t xml:space="preserve">Policy areas: </w:t>
      </w:r>
      <w:r>
        <w:rPr>
          <w:sz w:val="20"/>
        </w:rPr>
        <w:t>Economy, Finance and taxation, Welfare and benefits</w:t>
      </w:r>
    </w:p>
    <w:p>
      <w:r>
        <w:rPr>
          <w:b/>
        </w:rPr>
        <w:t xml:space="preserve">Topics: </w:t>
      </w:r>
      <w:r>
        <w:rPr>
          <w:sz w:val="20"/>
        </w:rPr>
        <w:t>pension credit, pension savings, pensioner isolation, pensioner poverty, state pension increases</w:t>
      </w:r>
    </w:p>
    <w:p>
      <w:r>
        <w:rPr>
          <w:b/>
        </w:rPr>
        <w:t xml:space="preserve">Source: </w:t>
      </w:r>
      <w:r>
        <w:rPr>
          <w:sz w:val="20"/>
        </w:rPr>
        <w:t>https://hansard.parliament.uk/Commons/2026-03-09/debates/36754FB7-BF68-4985-9628-85CB4EC45A40/StatePension</w:t>
      </w:r>
    </w:p>
    <w:p/>
    <w:p>
      <w:r>
        <w:rPr>
          <w:b/>
          <w:color w:val="1A4A6E"/>
          <w:sz w:val="22"/>
        </w:rPr>
        <w:t>Peter Prinsley (Lab)</w:t>
      </w:r>
    </w:p>
    <w:p>
      <w:r>
        <w:rPr>
          <w:sz w:val="22"/>
        </w:rPr>
        <w:t>11. If he will make an assessment of the potential merits of increasing the rate of state pension.</w:t>
      </w:r>
    </w:p>
    <w:p/>
    <w:p>
      <w:r>
        <w:rPr>
          <w:b/>
          <w:color w:val="1A4A6E"/>
          <w:sz w:val="22"/>
        </w:rPr>
        <w:t>Torsten Bell (The Parliamentary Secretary to the Treasury)</w:t>
      </w:r>
    </w:p>
    <w:p>
      <w:r>
        <w:rPr>
          <w:sz w:val="22"/>
        </w:rPr>
        <w:t>The yearly amount of the full new state pension is projected to rise by about £2,100 a year over the current Parliament. That reflects the Government’s commitment to the triple lock for the duration of the Parliament. Payments of both the basic and new state pensions will increase by 4.8% in a few weeks’ time, boosting pensioners’ incomes by up to £575 a year.</w:t>
      </w:r>
    </w:p>
    <w:p/>
    <w:p>
      <w:r>
        <w:rPr>
          <w:b/>
          <w:color w:val="1A4A6E"/>
          <w:sz w:val="22"/>
        </w:rPr>
        <w:t>Peter Prinsley</w:t>
      </w:r>
    </w:p>
    <w:p>
      <w:r>
        <w:rPr>
          <w:sz w:val="22"/>
        </w:rPr>
        <w:t>I declare an interest, in that I receive a state pension. [Hon. Members: “No! No way!”] We welcome the Government’s commitment to the triple lock, but some pensioners in my constituency continue to live in poverty and isolation, and are in need of food banks. What specific measures can the Government take to reduce social isolation and tackle poverty in this group of people?</w:t>
      </w:r>
    </w:p>
    <w:p/>
    <w:p>
      <w:r>
        <w:rPr>
          <w:b/>
          <w:color w:val="1A4A6E"/>
          <w:sz w:val="22"/>
        </w:rPr>
        <w:t>Torsten Bell</w:t>
      </w:r>
    </w:p>
    <w:p>
      <w:r>
        <w:rPr>
          <w:sz w:val="22"/>
        </w:rPr>
        <w:t>I thank my hon. Friend for his question—and for the shocking news of his age. He is absolutely right to highlight both these issues. Pensioner poverty halved under the last Labour Government, but it has risen more recently. That is why it is so important that, as well as increasing the state pension, we have put in place the biggest-ever take-up campaign for pension credit and focused on the cost of essentials—most importantly, energy, where new measures will come into place in the next few weeks.</w:t>
      </w:r>
    </w:p>
    <w:p>
      <w:r>
        <w:rPr>
          <w:sz w:val="22"/>
        </w:rPr>
        <w:t>My hon. Friend is also right to focus not just on poverty, but on isolation. I am sure that all Members of the House, when we are out knocking on doors at the weekend, meet some younger, but also some older, constituents who are too isolated. They might not be happy to see the Member who comes to knock on their door, but they might be. Whatever people think about politicians knocking on their doors, we all have organisations and charities in our constituencies—such as Age Cymru in Wales and, I am sure, many in my hon. Friend’s constituency—that do important work in tackling isolation among all our communities.</w:t>
      </w:r>
    </w:p>
    <w:p/>
    <w:p>
      <w:r>
        <w:rPr>
          <w:b/>
          <w:color w:val="1A4A6E"/>
          <w:sz w:val="22"/>
        </w:rPr>
        <w:t>Madam Deputy Speaker</w:t>
      </w:r>
    </w:p>
    <w:p>
      <w:r>
        <w:rPr>
          <w:sz w:val="22"/>
        </w:rPr>
        <w:t>I call the Father of the House.</w:t>
      </w:r>
    </w:p>
    <w:p/>
    <w:p>
      <w:r>
        <w:rPr>
          <w:b/>
          <w:color w:val="1A4A6E"/>
          <w:sz w:val="22"/>
        </w:rPr>
        <w:t>Sir Edward Leigh (Con)</w:t>
      </w:r>
    </w:p>
    <w:p>
      <w:r>
        <w:rPr>
          <w:sz w:val="22"/>
        </w:rPr>
        <w:t>I declare a similar interest to that of the hon. Member for Bury St Edmunds and Stowmarket (Peter Prinsley). I read this weekend that if we grapple with the increase in pensions and benefits, we might be able to afford 15 new frigates. It is easy for Opposition Members to attack in-work benefits; it is more difficult to question the state pension. Has the Minister seen the paper from the Institute for Fiscal Studies that says we should consider moving to a smoothed earnings link for state pensions, which would ensure that they never fall in real terms but, in the long term, always rise with earnings? He will not give me an answer now, but perhaps he can write to me about how we are going to buttress the long-term sustainability of the state pension.</w:t>
      </w:r>
    </w:p>
    <w:p/>
    <w:p>
      <w:r>
        <w:rPr>
          <w:b/>
          <w:color w:val="1A4A6E"/>
          <w:sz w:val="22"/>
        </w:rPr>
        <w:t>Torsten Bell</w:t>
      </w:r>
    </w:p>
    <w:p>
      <w:r>
        <w:rPr>
          <w:sz w:val="22"/>
        </w:rPr>
        <w:t>The right hon. Member is right to recognise the challenge. We have around 12 million pensioners at the moment, but that will rise to 18 million over the next 50 years. Our view is that having the triple lock drive above-inflation increases, on average, among pensioners is the right thing to do for this Parliament. That is why we set it out in our manifesto, and that is what is driving the increases in the state pension. When it comes to affording the cost of frigates, I merely point him to the fact that defence spending under this Government is higher in every year than it was in a single year under the Conservative party.</w:t>
      </w:r>
    </w:p>
    <w:p/>
    <w:p>
      <w:r>
        <w:rPr>
          <w:b/>
          <w:color w:val="1A4A6E"/>
          <w:sz w:val="22"/>
        </w:rPr>
        <w:t>Madam Deputy Speaker</w:t>
      </w:r>
    </w:p>
    <w:p>
      <w:r>
        <w:rPr>
          <w:sz w:val="22"/>
        </w:rPr>
        <w:t>I call the shadow Minister.</w:t>
      </w:r>
    </w:p>
    <w:p/>
    <w:p>
      <w:r>
        <w:rPr>
          <w:b/>
          <w:color w:val="1A4A6E"/>
          <w:sz w:val="22"/>
        </w:rPr>
        <w:t>Mark Garnier (Con)</w:t>
      </w:r>
    </w:p>
    <w:p>
      <w:r>
        <w:rPr>
          <w:sz w:val="22"/>
        </w:rPr>
        <w:t>Helping millions of people ensure financial security in their retirement is a cornerstone of the Minister’s Department, but in the Government’s first 18 months, they have disincentivised pension savings by introducing inheritance tax on pensions, removing pensions from their lifetime ISA reforms, forcing pension trustees into mandation and, most recently, introducing a cap on salary sacrifice savings incentives. Through their actions, this Government are pushing people to be more reliant on the state pension, rather than encouraging people to take control of their own financial future. Which will be the next Government U-turn: cancelling mandation, or abandoning salary sacrifice caps?</w:t>
      </w:r>
    </w:p>
    <w:p/>
    <w:p>
      <w:r>
        <w:rPr>
          <w:b/>
          <w:color w:val="1A4A6E"/>
          <w:sz w:val="22"/>
        </w:rPr>
        <w:t>Torsten Bell</w:t>
      </w:r>
    </w:p>
    <w:p>
      <w:r>
        <w:rPr>
          <w:sz w:val="22"/>
        </w:rPr>
        <w:t>That was just a bit sad, because the U-turn that we are seeing is from the hon. Member, who declined to vote against the Pensions Schemes Bill at Second Reading and on Report. I will quote him back to himself. He told me that “the Minister”—that is me—</w:t>
      </w:r>
    </w:p>
    <w:p>
      <w:r>
        <w:rPr>
          <w:sz w:val="22"/>
        </w:rPr>
        <w:t>“will be pleased to hear that there is cross-party consensus on many of the planned changes.”</w:t>
      </w:r>
    </w:p>
    <w:p>
      <w:r>
        <w:rPr>
          <w:sz w:val="22"/>
        </w:rPr>
        <w:t>[ Interruption. ] Wait a second. He then got even more excited—back in his reasonable days, before he had been leant on by the “looney tunes” who will wander off to Reform—and told us that</w:t>
      </w:r>
    </w:p>
    <w:p>
      <w:r>
        <w:rPr>
          <w:sz w:val="22"/>
        </w:rPr>
        <w:t>“we broadly support the measures in the Bill”. —[ Official Report , 7 July 2025; Vol. 770, c. 722-723.]</w:t>
      </w:r>
    </w:p>
    <w:p>
      <w:r>
        <w:rPr>
          <w:sz w:val="22"/>
        </w:rPr>
        <w:t>The U-turn has been done by the hon. Member, who has let himself down.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