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Retirements of Members</w:t>
      </w:r>
    </w:p>
    <w:p>
      <w:r>
        <w:rPr>
          <w:sz w:val="20"/>
        </w:rPr>
        <w:t>9 March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https://hansard.parliament.uk/Lords/2026-03-09/debates/B7399782-0845-4C0A-85B9-ED9C98292A86/RetirementsOfMembers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retirement, with effect from today, of the noble Lord, Lord Suri, pursuant to Section 1 of the House of Lords Reform Act 2014. On behalf of the House, I should like to thank the noble Lord for his much-valued service to the House.</w:t>
      </w:r>
    </w:p>
    <w:p>
      <w:r>
        <w:rPr>
          <w:sz w:val="22"/>
        </w:rPr>
        <w:t>I must also notify the House of the retirement, with effect from Saturday 7 March, of the noble Lord, Lord Chadlington, pursuant to Section 1 of the House of Lords Reform Act 2014. I should like to recognise the noble Lord’s long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