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Procurement (Amendment)  Regulations 2026</w:t>
      </w:r>
    </w:p>
    <w:p>
      <w:r>
        <w:rPr>
          <w:sz w:val="20"/>
        </w:rPr>
        <w:t>9 March 2026  ·  Lords  ·  Committee Stage</w:t>
      </w:r>
    </w:p>
    <w:p>
      <w:r>
        <w:rPr>
          <w:b/>
        </w:rPr>
        <w:t xml:space="preserve">Policy areas: </w:t>
      </w:r>
      <w:r>
        <w:rPr>
          <w:sz w:val="20"/>
        </w:rPr>
        <w:t>Business and industry, Government and public administration</w:t>
      </w:r>
    </w:p>
    <w:p>
      <w:r>
        <w:rPr>
          <w:b/>
        </w:rPr>
        <w:t xml:space="preserve">Topics: </w:t>
      </w:r>
      <w:r>
        <w:rPr>
          <w:sz w:val="20"/>
        </w:rPr>
        <w:t>digital platform consolidation, payment transparency, procurement regulations 2026, public contract data, supplier registration</w:t>
      </w:r>
    </w:p>
    <w:p>
      <w:r>
        <w:rPr>
          <w:b/>
        </w:rPr>
        <w:t xml:space="preserve">Source: </w:t>
      </w:r>
      <w:r>
        <w:rPr>
          <w:sz w:val="20"/>
        </w:rPr>
        <w:t>https://hansard.parliament.uk/Lords/2026-03-09/debates/D8135C8A-083D-4841-A259-9FAE70D138AE/ProcurementAmendmentRegulations2026</w:t>
      </w:r>
    </w:p>
    <w:p/>
    <w:p>
      <w:r>
        <w:rPr>
          <w:b/>
          <w:color w:val="1A4A6E"/>
          <w:sz w:val="22"/>
        </w:rPr>
        <w:t>Baroness Anderson of Stoke-on-Trent</w:t>
      </w:r>
    </w:p>
    <w:p>
      <w:r>
        <w:rPr>
          <w:sz w:val="22"/>
        </w:rPr>
        <w:t>My Lords, these regulations make targeted amendments to the Procurement Regulations 2024 so that key parts of the Procurement Act 2023 operate effectively in practice. They strengthen transparency in a proportionate and deliverable way, and they make a small number of practical improvements to support the smooth operation of the new regime.</w:t>
      </w:r>
    </w:p>
    <w:p>
      <w:r>
        <w:rPr>
          <w:sz w:val="22"/>
        </w:rPr>
        <w:t>Public procurement is how the state translates policy into delivery. It is also where public trust can be won or lost. Transparency is, therefore, not optional. It is a necessary discipline that helps ensure value for money, strengthens accountability, and supports confidence among suppliers and the wider public. After all, this is about public money—taxpayers’ money.</w:t>
      </w:r>
    </w:p>
    <w:p>
      <w:r>
        <w:rPr>
          <w:sz w:val="22"/>
        </w:rPr>
        <w:t>The principal purpose of this instrument is to implement Section 70 of the Act. This requires quarterly publication of information about individual payments over £30,000 made under public contracts. These regulations specify the information that must be published and how it is to be published on the central digital platform so that the payment can be linked to the relevant contract and supplier record. This is designed to allow Parliament, the public, suppliers and contracting authorities to “follow the money” in a meaningful way, seeing what was bought, from whom and what was paid under the contract.</w:t>
      </w:r>
    </w:p>
    <w:p>
      <w:r>
        <w:rPr>
          <w:sz w:val="22"/>
        </w:rPr>
        <w:t>The instrument also closes an important gap by ensuring that suppliers awarded notifiable below-threshold contracts are registered on the central digital platform and have a unique supplier identifier. This is light-touch in practice but important in its effect. It improves traceability across the market, strengthens confidence that procurement data reflects real supplier identity, and supports better understanding of SME and voluntary sector participation.</w:t>
      </w:r>
    </w:p>
    <w:p>
      <w:r>
        <w:rPr>
          <w:sz w:val="22"/>
        </w:rPr>
        <w:t>The instrument also completes the move away from Contracts Finder, a legacy publication route whose functions are being consolidated into the central digital platform. This reduces duplication and confusion for suppliers and authorities, and supports a single, coherent source of procurement information—an important part of making transparency meaningful.</w:t>
      </w:r>
    </w:p>
    <w:p>
      <w:r>
        <w:rPr>
          <w:sz w:val="22"/>
        </w:rPr>
        <w:t>Taken together, these regulations are practical and focused. They implement contract-linked payment transparency, as Parliament intended; close a key data gap on supplier identity for below-threshold awards; and simplify publication by consolidating on to a single platform. For these reasons, I hope that your Lordships will support these regulations, and I beg to move.</w:t>
      </w:r>
    </w:p>
    <w:p/>
    <w:p>
      <w:r>
        <w:rPr>
          <w:b/>
          <w:color w:val="1A4A6E"/>
          <w:sz w:val="22"/>
        </w:rPr>
        <w:t>The Parliamentary Secretary, Cabinet Office (Lab)</w:t>
      </w:r>
    </w:p>
    <w:p>
      <w:r>
        <w:rPr>
          <w:sz w:val="22"/>
        </w:rPr>
        <w:t>My Lords, it is the “Baroness Anderson and Baroness Finn show” again, I am afraid.</w:t>
      </w:r>
    </w:p>
    <w:p>
      <w:r>
        <w:rPr>
          <w:sz w:val="22"/>
        </w:rPr>
        <w:t>We welcome these regulations. Section 70 of the Procurement Act 2023, introduced by the previous Conservative Government, created new reporting requirements for procurement payments over £30,000. The purposes were clear: to improve transparency; to strengthen accountability; and to make it easier for the public to see how taxpayers’ money is being spent. These regulations implement those commitments by specifying the information that must be published and ensuring that it is made available on a central digital platform. That is a sensible and important step.</w:t>
      </w:r>
    </w:p>
    <w:p>
      <w:r>
        <w:rPr>
          <w:sz w:val="22"/>
        </w:rPr>
        <w:t>Transparency is not an administrative afterthought. It is a safeguard. Publishing clear data on payments—including the contracting authority, the supplier, the value of the payment and the date—enables scrutiny, improves financial discipline and supports better value for money. We particularly welcome the move to align reporting requirements across central and local government. A consistent approach reduces confusion and ensures that transparency does not depend on postcode.</w:t>
      </w:r>
    </w:p>
    <w:p>
      <w:r>
        <w:rPr>
          <w:sz w:val="22"/>
        </w:rPr>
        <w:t>However, I would welcome brief clarification from the Minister on two points. First, on implementation, can the Minister confirm that the central digital platform is fully operational, and that contracting authorities have received clear guidance on data standards and reporting formats? Transparency is meaningful only if the data is accessible and consistent. Secondly, on proportionality, although these requirements are reasonable, what assessment has been made of the administrative burden on smaller contracting authorities? It is important that transparency does not inadvertently divert resource from front-line delivery.</w:t>
      </w:r>
    </w:p>
    <w:p>
      <w:r>
        <w:rPr>
          <w:sz w:val="22"/>
        </w:rPr>
        <w:t>Subject to those two questions, we support these regulations. They deliver on clear commitments to open procurement, to better scrutiny and to ensuring that public money is spent in a way that can be properly examined.</w:t>
      </w:r>
    </w:p>
    <w:p/>
    <w:p>
      <w:r>
        <w:rPr>
          <w:b/>
          <w:color w:val="1A4A6E"/>
          <w:sz w:val="22"/>
        </w:rPr>
        <w:t>Baroness Finn</w:t>
      </w:r>
    </w:p>
    <w:p>
      <w:r>
        <w:rPr>
          <w:sz w:val="22"/>
        </w:rPr>
        <w:t>My Lords, the problem when there are only two of us, as we are getting used to, is that I do not necessarily have time to answer all the questions, but I will give it a go. As ever, I thank my opposite number, the noble Baroness, Lady Finn, for the points that she has raised. Unless something is about to appear in front of me like magic, I may have to clarify for her in writing, but I promise to do that swiftly. I believe that, yes, the platform is ready, willing and able—with slight modifications due to be put in place, it should be fully up to speed by the end of the year. As for the administrative burden on smaller authorities, we have made sure that everything that can be done to support them is being done. I will write to the noble Baroness with details of that.</w:t>
      </w:r>
    </w:p>
    <w:p>
      <w:r>
        <w:rPr>
          <w:sz w:val="22"/>
        </w:rPr>
        <w:t>These regulations are about making transparency under the 2023 Act operable and meaningful. The core point is that payment transparency works best when payments are linked to the contract and supply a record on the central platform, enabling scrutiny that is joined up rather than fragmented. The additional provisions are tightly connected. They close data gaps that would otherwise weaken transparency and they ensure that the system works in practice during outages and in urgent protect-life situations. The overall model remains proportionate and deliverable. It is quarterly, prospective from 1 April 2026, and early central government experience suggests that initial reporting volumes are manageable. On that basis, I thank the noble Baroness, Lady Finn, and commend the regulations.</w:t>
      </w:r>
    </w:p>
    <w:p/>
    <w:p>
      <w:r>
        <w:rPr>
          <w:b/>
          <w:color w:val="1A4A6E"/>
          <w:sz w:val="22"/>
        </w:rPr>
        <w:t>Baroness Anderson of Stoke-on-Trent</w:t>
      </w:r>
    </w:p>
    <w:p>
      <w:r>
        <w:rPr>
          <w:sz w:val="22"/>
        </w:rPr>
        <w:t>My Lords, the problem when there are only two of us, as we are getting used to, is that I do not necessarily have time to answer all the questions, but I will give it a go. As ever, I thank my opposite number, the noble Baroness, Lady Finn, for the points that she has raised. Unless something is about to appear in front of me like magic, I may have to clarify for her in writing, but I promise to do that swiftly. I believe that, yes, the platform is ready, willing and able—with slight modifications due to be put in place, it should be fully up to speed by the end of the year. As for the administrative burden on smaller authorities, we have made sure that everything that can be done to support them is being done. I will write to the noble Baroness with details of that. These regulations are about making transparency under the 2023 Act operable and meaningful. The core point is that payment transparency works best when payments are linked to the contract and supply a record on the central platform, enabling scrutiny that is joined up rather than fragmented. The additional provisions are tightly connected. They close data gaps that would otherwise weaken transparency and they ensure that the system works in practice during outages and in urgent protect-life situations. The overall model remains proportionate and deliverable. It is quarterly, prospective from 1 April 2026, and early central government experience suggests that initial reporting volumes are manageable. On that basis, I thank the noble Baroness, Lady Finn, and commend the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