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Bereaved Partner’s Paternity Leave Regulations 2026</w:t>
      </w:r>
    </w:p>
    <w:p>
      <w:r>
        <w:rPr>
          <w:sz w:val="20"/>
        </w:rPr>
        <w:t>9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Children and families, Employment and labour market, Welfare and benefits</w:t>
      </w:r>
    </w:p>
    <w:p>
      <w:r>
        <w:rPr>
          <w:b/>
        </w:rPr>
        <w:t xml:space="preserve">Topics: </w:t>
      </w:r>
      <w:r>
        <w:rPr>
          <w:sz w:val="20"/>
        </w:rPr>
        <w:t>adoption regulations, bereaved partner paternity leave, parental order cases, parental orders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https://hansard.parliament.uk/Lords/2026-03-09/debates/6667E050-B9A0-4560-B19E-ED3C34AC0C37/BereavedPartnersPaternityLeaveRegulations2026</w:t>
      </w:r>
    </w:p>
    <w:p/>
    <w:p>
      <w:r>
        <w:rPr>
          <w:b/>
          <w:color w:val="1A4A6E"/>
          <w:sz w:val="22"/>
        </w:rPr>
        <w:t>Baroness Lloyd of Effra</w:t>
      </w:r>
    </w:p>
    <w:p>
      <w:r>
        <w:rPr>
          <w:sz w:val="22"/>
        </w:rPr>
        <w:t>That the draft Regulations laid before the House on 13 January be approved. Considered in Grand Committee on 2 March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