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9 March 2026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https://hansard.parliament.uk/Lords/2026-03-09/debates/FFFA3475-3D31-4EAA-A4D4-02392432A2AC/ArrangementOfBusiness</w:t>
      </w:r>
    </w:p>
    <w:p/>
    <w:p>
      <w:r>
        <w:rPr>
          <w:b/>
          <w:color w:val="1A4A6E"/>
          <w:sz w:val="22"/>
        </w:rPr>
        <w:t>The Deputy Chairman of Committees (LD)</w:t>
      </w:r>
    </w:p>
    <w:p>
      <w:r>
        <w:rPr>
          <w:sz w:val="22"/>
        </w:rPr>
        <w:t>Good afternoon, my Lords.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