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Pension Fund Clearing Obligation Exemption (Amendment) Regulations 2025</w:t>
      </w:r>
    </w:p>
    <w:p>
      <w:r>
        <w:rPr>
          <w:sz w:val="20"/>
        </w:rPr>
        <w:t>9 June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</w:t>
      </w:r>
    </w:p>
    <w:p>
      <w:r>
        <w:rPr>
          <w:b/>
        </w:rPr>
        <w:t xml:space="preserve">Topics: </w:t>
      </w:r>
      <w:r>
        <w:rPr>
          <w:sz w:val="20"/>
        </w:rPr>
        <w:t>clearing obligation regulations, contract termination, payment services regulations, pension fund exemption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https://hansard.parliament.uk/Lords/2025-06-09/debates/7C3FABCA-5C1B-4B4B-9E9E-A1C2D4F92E2E/PensionFundClearingObligationExemptionAmendmentRegulations2025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laid before the House on 17 March and 28 April be approved. Relevant document: 25th Report from the Secondary Legislation Scrutiny Committee. Considered in Grand Committee on 5 June.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