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Pension Fund Clearing Obligation Exemption (Amendment) Regulations 2025</w:t>
      </w:r>
    </w:p>
    <w:p>
      <w:r>
        <w:rPr>
          <w:sz w:val="20"/>
        </w:rPr>
        <w:t>9 June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Finance and taxation</w:t>
      </w:r>
    </w:p>
    <w:p>
      <w:r>
        <w:rPr>
          <w:b/>
        </w:rPr>
        <w:t xml:space="preserve">Topics: </w:t>
      </w:r>
      <w:r>
        <w:rPr>
          <w:sz w:val="20"/>
        </w:rPr>
        <w:t>clearing obligation regulations, contract termination, payment services regulations, pension fund exemption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https://hansard.parliament.uk/Lords/2025-06-09/debates/7C3FABCA-5C1B-4B4B-9E9E-A1C2D4F92E2E/PensionFundClearingObligationExemptionAmendmentRegulations2025</w:t>
      </w:r>
    </w:p>
    <w:p/>
    <w:p>
      <w:r>
        <w:rPr>
          <w:b/>
          <w:color w:val="1A4A6E"/>
          <w:sz w:val="22"/>
        </w:rPr>
        <w:t>Lord Wilson of Sedgefield</w:t>
      </w:r>
    </w:p>
    <w:p>
      <w:r>
        <w:rPr>
          <w:sz w:val="22"/>
        </w:rPr>
        <w:t>That the draft Regulations laid before the House on 17 March and 28 April be approved. Relevant document: 25th Report from the Secondary Legislation Scrutiny Committee. Considered in Grand Committee on 5 June.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