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Council Housing Repairs: Funding</w:t>
      </w:r>
    </w:p>
    <w:p>
      <w:r>
        <w:rPr>
          <w:sz w:val="20"/>
        </w:rPr>
        <w:t>9 June 2025  ·  Commons  ·  Oral Questions</w:t>
      </w:r>
    </w:p>
    <w:p>
      <w:r>
        <w:rPr>
          <w:b/>
        </w:rPr>
        <w:t xml:space="preserve">Policy areas: </w:t>
      </w:r>
      <w:r>
        <w:rPr>
          <w:sz w:val="20"/>
        </w:rPr>
        <w:t>Finance and taxation, Government and public administration, Housing and planning</w:t>
      </w:r>
    </w:p>
    <w:p>
      <w:r>
        <w:rPr>
          <w:b/>
        </w:rPr>
        <w:t xml:space="preserve">Topics: </w:t>
      </w:r>
      <w:r>
        <w:rPr>
          <w:sz w:val="20"/>
        </w:rPr>
        <w:t>council housing repairs, housing funding model, housing revenue accounts, right to buy sales, social housing rent</w:t>
      </w:r>
    </w:p>
    <w:p>
      <w:r>
        <w:rPr>
          <w:b/>
        </w:rPr>
        <w:t xml:space="preserve">Source: </w:t>
      </w:r>
      <w:r>
        <w:rPr>
          <w:sz w:val="20"/>
        </w:rPr>
        <w:t>https://hansard.parliament.uk/Commons/2025-06-09/debates/7AB892FA-96F5-49E5-91E5-CB5F23E53250/CouncilHousingRepairsFunding</w:t>
      </w:r>
    </w:p>
    <w:p/>
    <w:p>
      <w:r>
        <w:rPr>
          <w:b/>
          <w:color w:val="1A4A6E"/>
          <w:sz w:val="22"/>
        </w:rPr>
        <w:t>Will Stone (Lab)</w:t>
      </w:r>
    </w:p>
    <w:p>
      <w:r>
        <w:rPr>
          <w:sz w:val="22"/>
        </w:rPr>
        <w:t>3. If she will make an assessment of the adequacy of the funding model for the repair of council housing stock.</w:t>
      </w:r>
    </w:p>
    <w:p/>
    <w:p>
      <w:r>
        <w:rPr>
          <w:b/>
          <w:color w:val="1A4A6E"/>
          <w:sz w:val="22"/>
        </w:rPr>
        <w:t>Matthew Pennycook (The Minister for Housing and Planning)</w:t>
      </w:r>
    </w:p>
    <w:p>
      <w:r>
        <w:rPr>
          <w:sz w:val="22"/>
        </w:rPr>
        <w:t>The Government recognise the strain placed on housing revenue accounts as a result of changes in rent policy, inflationary pressures and increased costs associated with investing in existing stock. The principle of self-financing remains the right one, but we are committed to working with councils to overcome the pressures on their HRAs so that they can invest in new and existing stock.</w:t>
      </w:r>
    </w:p>
    <w:p/>
    <w:p>
      <w:r>
        <w:rPr>
          <w:b/>
          <w:color w:val="1A4A6E"/>
          <w:sz w:val="22"/>
        </w:rPr>
        <w:t>Will Stone</w:t>
      </w:r>
    </w:p>
    <w:p>
      <w:r>
        <w:rPr>
          <w:sz w:val="22"/>
        </w:rPr>
        <w:t>Will the Minister join me in praising Swindon borough council for its fantastic vision in investing in fixing our council stock—something the previous Conservative administration failed to do for 20 years?</w:t>
      </w:r>
    </w:p>
    <w:p/>
    <w:p>
      <w:r>
        <w:rPr>
          <w:b/>
          <w:color w:val="1A4A6E"/>
          <w:sz w:val="22"/>
        </w:rPr>
        <w:t>Matthew Pennycook</w:t>
      </w:r>
    </w:p>
    <w:p>
      <w:r>
        <w:rPr>
          <w:sz w:val="22"/>
        </w:rPr>
        <w:t>I certainly will. My hon. Friend is a fantastic champion for council housing and highlights that Swindon borough council is putting significant investment into its housing stock over the next five years. The Government recognise that councils, like other registered providers, need support to build their capacity. That is why we consulted last year on a new five-year social housing rent settlement and have allowed councils to keep 100% of the receipts generated by right-to-buy sales. We will set out details of further investment in the forthcoming spending review.</w:t>
      </w:r>
    </w:p>
    <w:p/>
    <w:p>
      <w:r>
        <w:rPr>
          <w:b/>
          <w:color w:val="1A4A6E"/>
          <w:sz w:val="22"/>
        </w:rPr>
        <w:t>Tim Farron (LD)</w:t>
      </w:r>
    </w:p>
    <w:p>
      <w:r>
        <w:rPr>
          <w:sz w:val="22"/>
        </w:rPr>
        <w:t>In Kendal on Friday afternoon, I came across a constituent in a Home Housing property who had been the victim of a house fire several months ago. Although they were still living in the property, it had not been fully restored or fixed. I am on the matter personally and dealing with the casework issues; if I share the details of this case with the Minister, will he take a personal interest in it, and does he agree that it is outrageous for someone to have to live in a fire-damaged property for five months without it being properly restored?</w:t>
      </w:r>
    </w:p>
    <w:p/>
    <w:p>
      <w:r>
        <w:rPr>
          <w:b/>
          <w:color w:val="1A4A6E"/>
          <w:sz w:val="22"/>
        </w:rPr>
        <w:t>Matthew Pennycook</w:t>
      </w:r>
    </w:p>
    <w:p>
      <w:r>
        <w:rPr>
          <w:sz w:val="22"/>
        </w:rPr>
        <w:t>I thank the hon. Gentleman for raising that case. It does sound outrageous; if he writes to me, I will certainly look into the matter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