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National Policy Statement for Electricity Networks Infrastructure</w:t>
      </w:r>
    </w:p>
    <w:p>
      <w:r>
        <w:rPr>
          <w:sz w:val="20"/>
        </w:rPr>
        <w:t>9 July 2025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Energy, Environment, Housing and planning, Transport</w:t>
      </w:r>
    </w:p>
    <w:p>
      <w:r>
        <w:rPr>
          <w:b/>
        </w:rPr>
        <w:t xml:space="preserve">Topics: </w:t>
      </w:r>
      <w:r>
        <w:rPr>
          <w:sz w:val="20"/>
        </w:rPr>
        <w:t>electricity network infrastructure, energy infrastructure planning, national policy statement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https://hansard.parliament.uk/Lords/2025-07-09/debates/FBBD798A-D986-4F18-B3A4-77F0340C2F28/NationalPolicyStatementForElectricityNetworksInfrastructure</w:t>
      </w:r>
    </w:p>
    <w:p/>
    <w:p>
      <w:r>
        <w:rPr>
          <w:b/>
          <w:color w:val="1A4A6E"/>
          <w:sz w:val="22"/>
        </w:rPr>
        <w:t>Lord Wilson of Sedgefield</w:t>
      </w:r>
    </w:p>
    <w:p>
      <w:r>
        <w:rPr>
          <w:sz w:val="22"/>
        </w:rPr>
        <w:t>That the Grand Committee takes note of the initial proposed National Policy Statement for Electricity Networks Infrastructure.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