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Indefinite Leave to Remain: Poverty</w:t>
      </w:r>
    </w:p>
    <w:p>
      <w:r>
        <w:rPr>
          <w:sz w:val="20"/>
        </w:rPr>
        <w:t>9 February 2026  ·  Commons  ·  Oral Questions</w:t>
      </w:r>
    </w:p>
    <w:p>
      <w:r>
        <w:rPr>
          <w:b/>
        </w:rPr>
        <w:t xml:space="preserve">Policy areas: </w:t>
      </w:r>
      <w:r>
        <w:rPr>
          <w:sz w:val="20"/>
        </w:rPr>
        <w:t>Children and families, Immigration and borders, Welfare and benefits</w:t>
      </w:r>
    </w:p>
    <w:p>
      <w:r>
        <w:rPr>
          <w:b/>
        </w:rPr>
        <w:t xml:space="preserve">Topics: </w:t>
      </w:r>
      <w:r>
        <w:rPr>
          <w:sz w:val="20"/>
        </w:rPr>
        <w:t>child poverty, indefinite leave to remain, migrant children, no recourse to public funds, settlement proposals</w:t>
      </w:r>
    </w:p>
    <w:p>
      <w:r>
        <w:rPr>
          <w:b/>
        </w:rPr>
        <w:t xml:space="preserve">Source: </w:t>
      </w:r>
      <w:r>
        <w:rPr>
          <w:sz w:val="20"/>
        </w:rPr>
        <w:t>https://hansard.parliament.uk/Commons/2026-02-09/debates/2E6661DE-0457-4832-A827-048E2A62825F/IndefiniteLeaveToRemainPoverty</w:t>
      </w:r>
    </w:p>
    <w:p/>
    <w:p>
      <w:r>
        <w:rPr>
          <w:b/>
          <w:color w:val="1A4A6E"/>
          <w:sz w:val="22"/>
        </w:rPr>
        <w:t>Carla Denyer (Green)</w:t>
      </w:r>
    </w:p>
    <w:p>
      <w:r>
        <w:rPr>
          <w:sz w:val="22"/>
        </w:rPr>
        <w:t>5. What assessment she has made of the potential impact of proposed changes to indefinite leave to remain on the number of people living in poverty.</w:t>
      </w:r>
    </w:p>
    <w:p/>
    <w:p>
      <w:r>
        <w:rPr>
          <w:b/>
          <w:color w:val="1A4A6E"/>
          <w:sz w:val="22"/>
        </w:rPr>
        <w:t>Mike Tapp (The Parliamentary Under-Secretary of State for the Home Department)</w:t>
      </w:r>
    </w:p>
    <w:p>
      <w:r>
        <w:rPr>
          <w:sz w:val="22"/>
        </w:rPr>
        <w:t>We understand how important the details of the proposals are to people, and that is precisely why the Government opened a public consultation to gather views on those proposals. Once the consultation closes, we will analyse those responses, which will help to inform the development of the final earned settlement model. We have also committed to publishing the impact assessments for the settlement proposals, as well as the Government’s response to the consultation.</w:t>
      </w:r>
    </w:p>
    <w:p/>
    <w:p>
      <w:r>
        <w:rPr>
          <w:b/>
          <w:color w:val="1A4A6E"/>
          <w:sz w:val="22"/>
        </w:rPr>
        <w:t>Carla Denyer</w:t>
      </w:r>
    </w:p>
    <w:p>
      <w:r>
        <w:rPr>
          <w:sz w:val="22"/>
        </w:rPr>
        <w:t>Some 300,000 children living legally in the UK will face a decade of living in limbo under the Government’s earned settlement proposals, according to new research out this week by the Institute for Public Policy Research. Those children’s wait for settled immigration status will be extended by at least five years, during which many families will face no-recourse-to-public-funds restrictions, and we know that that raises the risk of homelessness and destitution. How does the Minister reconcile that poverty-increasing measure with the Government’s new child poverty strategy, which states:</w:t>
      </w:r>
    </w:p>
    <w:p>
      <w:r>
        <w:rPr>
          <w:sz w:val="22"/>
        </w:rPr>
        <w:t>“Reducing child poverty is a moral imperative”?</w:t>
      </w:r>
    </w:p>
    <w:p/>
    <w:p>
      <w:r>
        <w:rPr>
          <w:b/>
          <w:color w:val="1A4A6E"/>
          <w:sz w:val="22"/>
        </w:rPr>
        <w:t>Mike Tapp</w:t>
      </w:r>
    </w:p>
    <w:p>
      <w:r>
        <w:rPr>
          <w:sz w:val="22"/>
        </w:rPr>
        <w:t>When migrants enter the UK on economic routes, it is expected that they will be able to support their families. We are maintaining that principle, and it is right that we look into how we can do so better in response to circumstances. We will continue to ensure that migrant children are considered when we make decisions on requirements for settlement. As for the bigger picture, we saw an unprecedented influx of migration under the last Government that will put a massive strain on public services, so it is right that we extend the period from five to 10 years. That is what the British people expect, that is what we hear on the doorsteps, and that is what the hon. Lady’s constituents are saying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