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Online Safety Act 2023 (Priority Offences) (Amendment) Regulations 2025</w:t>
      </w:r>
    </w:p>
    <w:p>
      <w:r>
        <w:rPr>
          <w:sz w:val="20"/>
        </w:rPr>
        <w:t>9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Society and culture</w:t>
      </w:r>
    </w:p>
    <w:p>
      <w:r>
        <w:rPr>
          <w:b/>
        </w:rPr>
        <w:t xml:space="preserve">Topics: </w:t>
      </w:r>
      <w:r>
        <w:rPr>
          <w:sz w:val="20"/>
        </w:rPr>
        <w:t>draft regulations, online safety act, priority offences,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https://hansard.parliament.uk/Lords/2025-12-09/debates/A6E27AC8-61B2-4946-BE31-225F1BD16252/OnlineSafetyAct2023PriorityOffencesAmendmentRegulations2025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draft Regulations laid before the House on 21 October be approved. Relevant document: 40th Report from the Secondary Legislation Scrutiny Committee. Considered in Grand Committee on 4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