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Motor Fuel Price (Open Data) Regulations 2025</w:t>
      </w:r>
    </w:p>
    <w:p>
      <w:r>
        <w:rPr>
          <w:sz w:val="20"/>
        </w:rPr>
        <w:t>9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Finance and taxation, Transport</w:t>
      </w:r>
    </w:p>
    <w:p>
      <w:r>
        <w:rPr>
          <w:b/>
        </w:rPr>
        <w:t xml:space="preserve">Topics: </w:t>
      </w:r>
      <w:r>
        <w:rPr>
          <w:sz w:val="20"/>
        </w:rPr>
        <w:t>draft regulations approval, fuel duty, motor fuel prices, open data regulations, price transparency,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https://hansard.parliament.uk/Lords/2025-12-09/debates/AB357A37-5E90-4DD9-8E27-F915B750B6C4/MotorFuelPriceOpenDataRegulations2025</w:t>
      </w:r>
    </w:p>
    <w:p/>
    <w:p>
      <w:r>
        <w:rPr>
          <w:b/>
          <w:color w:val="1A4A6E"/>
          <w:sz w:val="22"/>
        </w:rPr>
        <w:t>Lord Whitehead</w:t>
      </w:r>
    </w:p>
    <w:p>
      <w:r>
        <w:rPr>
          <w:sz w:val="22"/>
        </w:rPr>
        <w:t>That the draft Regulations laid before the House on 13 October be approved. Relevant document: 39th Report from the Secondary Legislation Scrutiny Committee. Considered in Grand Committee on 4 December.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