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Act 2023 (Prudential Regulation of Credit Institutions) (Consequential Amendments) Regulations 2025</w:t>
      </w:r>
    </w:p>
    <w:p>
      <w:r>
        <w:rPr>
          <w:sz w:val="20"/>
        </w:rPr>
        <w:t>9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</w:t>
      </w:r>
    </w:p>
    <w:p>
      <w:r>
        <w:rPr>
          <w:b/>
        </w:rPr>
        <w:t xml:space="preserve">Topics: </w:t>
      </w:r>
      <w:r>
        <w:rPr>
          <w:sz w:val="20"/>
        </w:rPr>
        <w:t>consequential amendments, credit institutions, financial services, markets act 2023, prudential regulation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https://hansard.parliament.uk/Lords/2025-12-09/debates/CFF0BAE5-F1C5-4F3D-B6FB-2147ABE1340B/FinancialServicesAndMarketsAct2023PrudentialRegulationOfCreditInstitutionsConsequentialAmendmentsRegulations2025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and Order laid before the House on 20 and 27 October be approved. Relevant document: 41st Report from the Secondary Legislation Scrutiny Committee. Considered in Grand Committee on 8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