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Financial Services and Markets Act 2023 (Prudential Regulation of Credit Institutions) (Consequential Amendments) Regulations 2025</w:t>
      </w:r>
    </w:p>
    <w:p>
      <w:r>
        <w:rPr>
          <w:sz w:val="20"/>
        </w:rPr>
        <w:t>9 December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Finance and taxation</w:t>
      </w:r>
    </w:p>
    <w:p>
      <w:r>
        <w:rPr>
          <w:b/>
        </w:rPr>
        <w:t xml:space="preserve">Topics: </w:t>
      </w:r>
      <w:r>
        <w:rPr>
          <w:sz w:val="20"/>
        </w:rPr>
        <w:t>consequential amendments, credit institutions, financial services, markets act 2023, prudential regulation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https://hansard.parliament.uk/Lords/2025-12-09/debates/CFF0BAE5-F1C5-4F3D-B6FB-2147ABE1340B/FinancialServicesAndMarketsAct2023PrudentialRegulationOfCreditInstitutionsConsequentialAmendmentsRegulations2025</w:t>
      </w:r>
    </w:p>
    <w:p/>
    <w:p>
      <w:r>
        <w:rPr>
          <w:b/>
          <w:color w:val="1A4A6E"/>
          <w:sz w:val="22"/>
        </w:rPr>
        <w:t>Lord Wilson of Sedgefield</w:t>
      </w:r>
    </w:p>
    <w:p>
      <w:r>
        <w:rPr>
          <w:sz w:val="22"/>
        </w:rPr>
        <w:t>That the draft Regulations and Order laid before the House on 20 and 27 October be approved. Relevant document: 41st Report from the Secondary Legislation Scrutiny Committee. Considered in Grand Committee on 8 December.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