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Abuse Redress Measure</w:t>
      </w:r>
    </w:p>
    <w:p>
      <w:r>
        <w:rPr>
          <w:sz w:val="20"/>
        </w:rPr>
        <w:t>9 December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https://hansard.parliament.uk/Lords/2025-12-09/debates/CE738F3E-85DE-4F44-9CC2-BDEA86E330A8/AbuseRedressMeasure</w:t>
      </w:r>
    </w:p>
    <w:p/>
    <w:p>
      <w:r>
        <w:rPr>
          <w:b/>
          <w:color w:val="1A4A6E"/>
          <w:sz w:val="22"/>
        </w:rPr>
        <w:t>The Lord Bishop of Winchester</w:t>
      </w:r>
    </w:p>
    <w:p>
      <w:r>
        <w:rPr>
          <w:sz w:val="22"/>
        </w:rPr>
        <w:t>That this House do direct that, in accordance with the Church of England Assembly (Powers) Act 1919, the Abuse Redress Measure be presented to His Majesty for the Royal Assent.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