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Medical Devices (Amendment) (Great Britain) Regulations 2025</w:t>
      </w:r>
    </w:p>
    <w:p>
      <w:r>
        <w:rPr>
          <w:sz w:val="20"/>
        </w:rPr>
        <w:t>8 May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Health and social care</w:t>
      </w:r>
    </w:p>
    <w:p>
      <w:r>
        <w:rPr>
          <w:b/>
        </w:rPr>
        <w:t xml:space="preserve">Topics: </w:t>
      </w:r>
      <w:r>
        <w:rPr>
          <w:sz w:val="20"/>
        </w:rPr>
        <w:t>healthcare innovation, medical device regulations, product safety standards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https://hansard.parliament.uk/Lords/2025-05-08/debates/26ECCFE5-5DC5-4886-8570-80564B40AF7F/MedicalDevicesAmendmentGreatBritainRegulations2025</w:t>
      </w:r>
    </w:p>
    <w:p/>
    <w:p>
      <w:r>
        <w:rPr>
          <w:b/>
          <w:color w:val="1A4A6E"/>
          <w:sz w:val="22"/>
        </w:rPr>
        <w:t>Baroness Merron</w:t>
      </w:r>
    </w:p>
    <w:p>
      <w:r>
        <w:rPr>
          <w:sz w:val="22"/>
        </w:rPr>
        <w:t>That the draft Regulations laid before the House on 3 March be approved. Considered in Grand Committee on 6 May.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