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Cornwall Council (Adult Education Functions) Regulations 2025</w:t>
      </w:r>
    </w:p>
    <w:p>
      <w:r>
        <w:rPr>
          <w:sz w:val="20"/>
        </w:rPr>
        <w:t>8 May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Education, training and skills, Government and public administration, Local government</w:t>
      </w:r>
    </w:p>
    <w:p>
      <w:r>
        <w:rPr>
          <w:b/>
        </w:rPr>
        <w:t xml:space="preserve">Topics: </w:t>
      </w:r>
      <w:r>
        <w:rPr>
          <w:sz w:val="20"/>
        </w:rPr>
        <w:t>adult education functions, combined authorities, combined county authorities, cornwall council, secondary legislation, secondary legislation scrutiny, statutory instrument approval, york and north yorkshire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https://hansard.parliament.uk/Lords/2025-05-08/debates/3E3AD2FD-3709-461C-B83E-979E4C611572/CornwallCouncilAdultEducationFunctionsRegulations2025</w:t>
      </w:r>
    </w:p>
    <w:p/>
    <w:p>
      <w:r>
        <w:rPr>
          <w:b/>
          <w:color w:val="1A4A6E"/>
          <w:sz w:val="22"/>
        </w:rPr>
        <w:t>Baroness Blake of Leeds</w:t>
      </w:r>
    </w:p>
    <w:p>
      <w:r>
        <w:rPr>
          <w:sz w:val="22"/>
        </w:rPr>
        <w:t>That the draft Regulations laid before the House on 24 February be approved. Relevant document : 19th Report from the Secondary Legislation Scrutiny Committee. Considered in Grand Committee on 6 May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