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Speaker’s Statement</w:t>
      </w:r>
    </w:p>
    <w:p>
      <w:r>
        <w:rPr>
          <w:sz w:val="20"/>
        </w:rPr>
        <w:t>8 July 2026  ·  Commons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https://hansard.parliament.uk/Commons/2026-07-08/debates/83271780-FE20-481B-9447-FDE27A66417B/SpeakersStatement</w:t>
      </w:r>
    </w:p>
    <w:p/>
    <w:p>
      <w:r>
        <w:rPr>
          <w:b/>
          <w:color w:val="1A4A6E"/>
          <w:sz w:val="22"/>
        </w:rPr>
        <w:t>Speaker</w:t>
      </w:r>
    </w:p>
    <w:p>
      <w:r>
        <w:rPr>
          <w:sz w:val="22"/>
        </w:rPr>
        <w:t>Before we come to Northern Ireland Questions, I should remind the House that the case involving Sir Jeffrey Donaldson is sub judice until sentencing. However, I am granting a limited waiver so that Members may discuss wider issues raised in the context of the case. Members should not speculate about sentencing issues.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