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Point of Order</w:t>
      </w:r>
    </w:p>
    <w:p>
      <w:r>
        <w:rPr>
          <w:sz w:val="20"/>
        </w:rPr>
        <w:t>8 July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https://hansard.parliament.uk/Commons/2026-07-08/debates/90FF1952-D2C4-467A-8B67-EF516F61F8E5/PointOfOrder</w:t>
      </w:r>
    </w:p>
    <w:p/>
    <w:p>
      <w:r>
        <w:rPr>
          <w:b/>
          <w:color w:val="1A4A6E"/>
          <w:sz w:val="22"/>
        </w:rPr>
        <w:t>Matthew Pennycook (The Minister for Housing and Planning)</w:t>
      </w:r>
    </w:p>
    <w:p>
      <w:r>
        <w:rPr>
          <w:sz w:val="22"/>
        </w:rPr>
        <w:t>On a point of order, Madam Deputy Speaker. I would like to correct an inadvertent error I made earlier today. During the Ninth Delegated Legislation Committee debate on the Greater Cambridge Development Corporation (Establishment) Order 2026, I inadvertently stated that a relevant powers and functions order would fall under the affirmative procedure, when it will actually be made under the negative procedure.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thank the Minister for giving notice of his point of order, and for seeking to correct the record so quickly, which he has now done. Hopefully that draws a line under it.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