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Subsidy Control (Subsidies and Schemes of Interest or Particular Interest) (Amendment) Regulations 2025</w:t>
      </w:r>
    </w:p>
    <w:p>
      <w:r>
        <w:rPr>
          <w:sz w:val="20"/>
        </w:rPr>
        <w:t>8 July 2025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Business and industry, Economy, Finance and taxation</w:t>
      </w:r>
    </w:p>
    <w:p>
      <w:r>
        <w:rPr>
          <w:b/>
        </w:rPr>
        <w:t xml:space="preserve">Topics: </w:t>
      </w:r>
      <w:r>
        <w:rPr>
          <w:sz w:val="20"/>
        </w:rPr>
        <w:t>economic support measures, schemes of interest, subsidy control regulations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https://hansard.parliament.uk/Lords/2025-07-08/debates/C6A0D14C-7531-4558-92C2-FD36C48DBBAB/SubsidyControlSubsidiesAndSchemesOfInterestOrParticularInterestAmendmentRegulations2025</w:t>
      </w:r>
    </w:p>
    <w:p/>
    <w:p>
      <w:r>
        <w:rPr>
          <w:b/>
          <w:color w:val="1A4A6E"/>
          <w:sz w:val="22"/>
        </w:rPr>
        <w:t>Lord Leong</w:t>
      </w:r>
    </w:p>
    <w:p>
      <w:r>
        <w:rPr>
          <w:sz w:val="22"/>
        </w:rPr>
        <w:t>That the draft Regulations laid before the House on 2 June be approved. Relevant document: 28th Report from the Secondary Legislation Scrutiny Committee. Considered in Grand Committee on 7 July.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