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8 January 2026  ·  Commons  ·  Proceedings</w:t>
      </w:r>
    </w:p>
    <w:p>
      <w:r>
        <w:rPr>
          <w:b/>
        </w:rPr>
        <w:t xml:space="preserve">Source: </w:t>
      </w:r>
      <w:r>
        <w:rPr>
          <w:sz w:val="20"/>
        </w:rPr>
        <w:t>https://hansard.parliament.uk/Commons/2026-01-08/debates/792692EF-C2FE-493C-B1EB-40E310AE21C3/PointsOfOrder</w:t>
      </w:r>
    </w:p>
    <w:p/>
    <w:p>
      <w:r>
        <w:rPr>
          <w:b/>
          <w:color w:val="1A4A6E"/>
          <w:sz w:val="22"/>
        </w:rPr>
        <w:t>David Simmonds (Con)</w:t>
      </w:r>
    </w:p>
    <w:p>
      <w:r>
        <w:rPr>
          <w:sz w:val="22"/>
        </w:rPr>
        <w:t>On a point of order, Madam Deputy Speaker. May I seek your guidance? The provision of social housing by the London borough of Hillingdon is important to the two thirds of my constituents who are served by that authority. They are therefore concerned that the House may have been inadvertently misled by the hon. Member for Uxbridge and South Ruislip (Danny Beales), who said on 5 November, and I quote from Hansard , that one of the crucial sites the council is progressing had been</w:t>
      </w:r>
    </w:p>
    <w:p>
      <w:r>
        <w:rPr>
          <w:sz w:val="22"/>
        </w:rPr>
        <w:t>“left derelict for years, with the council not determining the application”. —[ Official Report, 5 November 2025; Vol. 774, c. 401WH.]</w:t>
      </w:r>
    </w:p>
    <w:p>
      <w:r>
        <w:rPr>
          <w:sz w:val="22"/>
        </w:rPr>
        <w:t>It is clear that the decision about this key provision of great concern to my constituents sits with the Mayor of London. A stage 2 decision by the mayor is required before any planning can progress on the site, and it is therefore important that the House is aware that the delay is attributable not to the London borough of Hillingdon, but to the failings of the Mayor of London. How can I ensure that the record stands corrected?</w:t>
      </w:r>
    </w:p>
    <w:p/>
    <w:p>
      <w:r>
        <w:rPr>
          <w:b/>
          <w:color w:val="1A4A6E"/>
          <w:sz w:val="22"/>
        </w:rPr>
        <w:t>Madam Deputy Speaker</w:t>
      </w:r>
    </w:p>
    <w:p>
      <w:r>
        <w:rPr>
          <w:sz w:val="22"/>
        </w:rPr>
        <w:t>I am grateful to the hon. Member for giving notice of his point of order, and for confirming that he has indeed informed the Member he mentioned. He seems to be raising a point of dispute, and the point at issue is not a matter for the Chair, but he has most definitely put his view on the record.</w:t>
      </w:r>
    </w:p>
    <w:p/>
    <w:p>
      <w:r>
        <w:rPr>
          <w:b/>
          <w:color w:val="1A4A6E"/>
          <w:sz w:val="22"/>
        </w:rPr>
        <w:t>Sir Bernard Jenkin (Con)</w:t>
      </w:r>
    </w:p>
    <w:p>
      <w:r>
        <w:rPr>
          <w:sz w:val="22"/>
        </w:rPr>
        <w:t>On a point of order, Madam Deputy Speaker. I very much regret that I did not have the opportunity to let you know I would be raising this, but it has been drawn to my attention that the Government are briefing a change of policy on business rates for pubs. Has a Minister indicated that they want to come to the House to make a statement, as I am sure the Speaker would prefer them to do that before they give any further briefing to the media?</w:t>
      </w:r>
    </w:p>
    <w:p/>
    <w:p>
      <w:r>
        <w:rPr>
          <w:b/>
          <w:color w:val="1A4A6E"/>
          <w:sz w:val="22"/>
        </w:rPr>
        <w:t>Madam Deputy Speaker</w:t>
      </w:r>
    </w:p>
    <w:p>
      <w:r>
        <w:rPr>
          <w:sz w:val="22"/>
        </w:rPr>
        <w:t>I have not been made aware of any such statement, but I have been in the Chair for a little while now. No doubt those on the Treasury Bench have heard that, and will accordingly be acting appropriately.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