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Local Plans (Burial Space) Bill [HL]</w:t>
      </w:r>
    </w:p>
    <w:p>
      <w:r>
        <w:rPr>
          <w:sz w:val="20"/>
        </w:rPr>
        <w:t>7 September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Housing and planning, Local government, Society and culture</w:t>
      </w:r>
    </w:p>
    <w:p>
      <w:r>
        <w:rPr>
          <w:b/>
        </w:rPr>
        <w:t xml:space="preserve">Topics: </w:t>
      </w:r>
      <w:r>
        <w:rPr>
          <w:sz w:val="20"/>
        </w:rPr>
        <w:t>burial space provision, local plans, planning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https://hansard.parliament.uk/Lords/2026-09-07/debates/61382CC9-AA32-423C-8731-6A18816F4EEE/LocalPlansBurialSpaceBillHl</w:t>
      </w:r>
    </w:p>
    <w:p/>
    <w:p>
      <w:r>
        <w:rPr>
          <w:b/>
          <w:color w:val="1A4A6E"/>
          <w:sz w:val="22"/>
        </w:rPr>
        <w:t>Lord Mohammed of Tinsley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Therefore, unless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