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7 May 2025  ·  Commons  ·  Proceedings</w:t>
      </w:r>
    </w:p>
    <w:p>
      <w:r>
        <w:rPr>
          <w:b/>
        </w:rPr>
        <w:t xml:space="preserve">Source: </w:t>
      </w:r>
      <w:r>
        <w:rPr>
          <w:sz w:val="20"/>
        </w:rPr>
        <w:t>https://hansard.parliament.uk/Commons/2025-05-07/debates/260468A4-C606-470C-BD94-2CBB1C667826/PointsOfOrder</w:t>
      </w:r>
    </w:p>
    <w:p/>
    <w:p>
      <w:r>
        <w:rPr>
          <w:b/>
          <w:color w:val="1A4A6E"/>
          <w:sz w:val="22"/>
        </w:rPr>
        <w:t>Louie French (Con)</w:t>
      </w:r>
    </w:p>
    <w:p>
      <w:r>
        <w:rPr>
          <w:sz w:val="22"/>
        </w:rPr>
        <w:t>On a point of order, Madam Deputy Speaker. This morning we learned that Labour’s choice of football regulator, David Kogan, made personal donations to both the Prime Minister and the Culture Secretary. We believe that the Government’s decision not to disclose that fact when Mr Kogan’s appointment was announced constitutes a potential breach of the governance code on public appointments, and represents a clear discourtesy to both this House and the Select Committee on Culture, Media and Sport. This appointment clearly puts cronies over clubs and favours over fans, and brings major risks to English football. Can you please advise me on the best way to ensure that this House is able to scrutinise such appointments and ensure that all rules were followed by the Government?</w:t>
      </w:r>
    </w:p>
    <w:p/>
    <w:p>
      <w:r>
        <w:rPr>
          <w:b/>
          <w:color w:val="1A4A6E"/>
          <w:sz w:val="22"/>
        </w:rPr>
        <w:t>Madam Deputy Speaker</w:t>
      </w:r>
    </w:p>
    <w:p>
      <w:r>
        <w:rPr>
          <w:sz w:val="22"/>
        </w:rPr>
        <w:t>I am grateful to the hon. Member for giving notice of his intention to make this point of order. The Chair is not responsible for public appointments or for the pre-appointment hearing process, but the hon. Member has put his point on the record. He might also like to raise it with the hon. Member for Gosport (Dame Caroline Dinenage), who chairs the Culture, Media and Sport Committee and who is in the Chamber.</w:t>
      </w:r>
    </w:p>
    <w:p/>
    <w:p>
      <w:r>
        <w:rPr>
          <w:b/>
          <w:color w:val="1A4A6E"/>
          <w:sz w:val="22"/>
        </w:rPr>
        <w:t>Sarah Olney (LD)</w:t>
      </w:r>
    </w:p>
    <w:p>
      <w:r>
        <w:rPr>
          <w:sz w:val="22"/>
        </w:rPr>
        <w:t>On a point of order, Madam Deputy Speaker. The Financial Times reported this morning that the Paymaster General has confirmed that the UK is looking to set up a youth mobility scheme with the EU. This directly contradicts the answer he gave in response to a question I asked in this Chamber just 13 days ago. On that occasion, he said:</w:t>
      </w:r>
    </w:p>
    <w:p>
      <w:r>
        <w:rPr>
          <w:sz w:val="22"/>
        </w:rPr>
        <w:t>“A youth mobility scheme is not part of our plans. We have always said that we will listen to sensible EU proposals, but we will not go back to freedom of movement.” —[ Official Report , 24 April 2025; Vol. 765, c. 1201.]</w:t>
      </w:r>
    </w:p>
    <w:p>
      <w:r>
        <w:rPr>
          <w:sz w:val="22"/>
        </w:rPr>
        <w:t>That is only the most recent example, because he has previously told me that there were no plans for a youth mobility scheme on 5 December, on 6 February, on 6 March in answer to oral questions, on 21 January in response to a written question, and on 29 January in a Westminster Hall debate.</w:t>
      </w:r>
    </w:p>
    <w:p>
      <w:r>
        <w:rPr>
          <w:sz w:val="22"/>
        </w:rPr>
        <w:t>The FT article states that the Paymaster General</w:t>
      </w:r>
    </w:p>
    <w:p>
      <w:r>
        <w:rPr>
          <w:sz w:val="22"/>
        </w:rPr>
        <w:t>“has confirmed publicly for the first time that Britain is looking at setting up a youth mobility scheme as part of a new ‘strategic partnership’ with the EU”.</w:t>
      </w:r>
    </w:p>
    <w:p>
      <w:r>
        <w:rPr>
          <w:sz w:val="22"/>
        </w:rPr>
        <w:t>He can be in no doubt about the keenness of Members of this House to be kept up to date on the progress of this issue. As such, why has this announcement been made to the media, rather than to Members directly?</w:t>
      </w:r>
    </w:p>
    <w:p/>
    <w:p>
      <w:r>
        <w:rPr>
          <w:b/>
          <w:color w:val="1A4A6E"/>
          <w:sz w:val="22"/>
        </w:rPr>
        <w:t>Madam Deputy Speaker</w:t>
      </w:r>
    </w:p>
    <w:p>
      <w:r>
        <w:rPr>
          <w:sz w:val="22"/>
        </w:rPr>
        <w:t>The hon. Member will be aware that that is not a matter for the Chair—we are not responsible for the statements that Government Ministers make. However, she has put her point on the record, and no doubt those on the Treasury Front Benchers are listening and will pass on her concerns.</w:t>
      </w:r>
    </w:p>
    <w:p>
      <w:r>
        <w:rPr>
          <w:sz w:val="22"/>
        </w:rPr>
        <w:t>Bills Presented</w:t>
      </w:r>
    </w:p>
    <w:p>
      <w:r>
        <w:rPr>
          <w:sz w:val="22"/>
        </w:rPr>
        <w:t>Victims and Courts</w:t>
      </w:r>
    </w:p>
    <w:p>
      <w:r>
        <w:rPr>
          <w:sz w:val="22"/>
        </w:rPr>
        <w:t>Presentation and First Reading (Standing Order No. 57)</w:t>
      </w:r>
    </w:p>
    <w:p>
      <w:r>
        <w:rPr>
          <w:sz w:val="22"/>
        </w:rPr>
        <w:t>Secretary Shabana Mahmood, supported by the Prime Minister, Secretary Yvette Cooper, Secretary Angela Rayner, Secretary Liz Kendall, Secretary John Healey and Secretary Peter Kyle, presented a Bill to make provision about the experience of victims within the criminal justice system; about the functions of the Commissioner for Victims and Witnesses; and about procedure and the administration of criminal justice.</w:t>
      </w:r>
    </w:p>
    <w:p>
      <w:r>
        <w:rPr>
          <w:sz w:val="22"/>
        </w:rPr>
        <w:t>Bill read the First time; to be read a Second time tomorrow, and to be printed (Bill 233) with explanatory notes (Bill 233 - EN).</w:t>
      </w:r>
    </w:p>
    <w:p>
      <w:r>
        <w:rPr>
          <w:sz w:val="22"/>
        </w:rPr>
        <w:t>Immigration and Visas</w:t>
      </w:r>
    </w:p>
    <w:p>
      <w:r>
        <w:rPr>
          <w:sz w:val="22"/>
        </w:rPr>
        <w:t>Presentation and First Reading (Standing Order No. 57)</w:t>
      </w:r>
    </w:p>
    <w:p>
      <w:r>
        <w:rPr>
          <w:sz w:val="22"/>
        </w:rPr>
        <w:t>Chris Philp, supported by Matt Vickers, Katie Lam, Harriet Cross, Sarah Bool, Nick Timothy, Jack Rankin and SirAshley Fox, presented a Bill to make provision about the disapplication of the Human Rights Act 1998 in relation to immigration law; to make provision about certain immigration statuses; to require the Secretary of State to set an annual limit on the number of people entering the United Kingdom through non-visitor visa routes; to make provision about the removal from the United Kingdom of certain persons including foreign national offenders; to create exemptions from the Data Protection Act 2018 provisions relating to illegal migration; to make provision about age assessments for immigration law purposes; and for connected purposes.</w:t>
      </w:r>
    </w:p>
    <w:p>
      <w:r>
        <w:rPr>
          <w:sz w:val="22"/>
        </w:rPr>
        <w:t>Bill read the First time; to be read a Second time on Friday 16 May, and to be printed (Bill 234).</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