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Registration of Births and Deaths (England and Wales) (Specified Requirements) Regulations 2026</w:t>
      </w:r>
    </w:p>
    <w:p>
      <w:r>
        <w:rPr>
          <w:sz w:val="20"/>
        </w:rPr>
        <w:t>7 July 2026  ·  Lords  ·  Committee Stage</w:t>
      </w:r>
    </w:p>
    <w:p>
      <w:r>
        <w:rPr>
          <w:b/>
        </w:rPr>
        <w:t xml:space="preserve">Policy areas: </w:t>
      </w:r>
      <w:r>
        <w:rPr>
          <w:sz w:val="20"/>
        </w:rPr>
        <w:t>Government and public administration</w:t>
      </w:r>
    </w:p>
    <w:p>
      <w:r>
        <w:rPr>
          <w:b/>
        </w:rPr>
        <w:t xml:space="preserve">Topics: </w:t>
      </w:r>
      <w:r>
        <w:rPr>
          <w:sz w:val="20"/>
        </w:rPr>
        <w:t>birth and death registration, digital government strategy, electronic registers, identity verification</w:t>
      </w:r>
    </w:p>
    <w:p>
      <w:r>
        <w:rPr>
          <w:b/>
        </w:rPr>
        <w:t xml:space="preserve">Source: </w:t>
      </w:r>
      <w:r>
        <w:rPr>
          <w:sz w:val="20"/>
        </w:rPr>
        <w:t>https://hansard.parliament.uk/Lords/2026-07-07/debates/77D152F9-40CF-4B27-AADC-9D5A17EB79EB/RegistrationOfBirthsAndDeathsEnglandAndWalesSpecifiedRequirementsRegulations2026</w:t>
      </w:r>
    </w:p>
    <w:p/>
    <w:p>
      <w:r>
        <w:rPr>
          <w:b/>
          <w:color w:val="1A4A6E"/>
          <w:sz w:val="22"/>
        </w:rPr>
        <w:t>The Minister of State, Home Office (Lab)</w:t>
      </w:r>
    </w:p>
    <w:p>
      <w:r>
        <w:rPr>
          <w:sz w:val="22"/>
        </w:rPr>
        <w:t>My Lords, these regulations made under Section 38B of the Births and Deaths Registration Act 1953 specify the requirements that a person will need to meet when registering a birth, stillbirth or death. The regulations will replace the requirement for a person to sign the register with a “wet” signature with specified requirements which, when taken together, will be treated as signing the register. This will support the move to an electronic register for the registration of births and deaths.</w:t>
      </w:r>
    </w:p>
    <w:p>
      <w:r>
        <w:rPr>
          <w:sz w:val="22"/>
        </w:rPr>
        <w:t>This instrument represents an important and necessary step in modernising the system of civil registration in England and Wales. The current framework, which requires individuals to attend a register office and physically sign a paper register, has remained unchanged for generations. While it has provided a reliable foundation for recording these vital life events, it no longer reflects the opportunities offered by modern technology nor the expectations of people engaging with public services in the 21st century.</w:t>
      </w:r>
    </w:p>
    <w:p>
      <w:r>
        <w:rPr>
          <w:sz w:val="22"/>
        </w:rPr>
        <w:t>These regulations will support the transition to a fully electronic register by replacing the traditional requirement for a handwritten signature with a new framework based on clearly specified legal requirements. At the heart of this approach is a simple but crucial principle: individuals must formally declare that the information they provide is true to the best of their knowledge and belief. This declaration will ensure that personal accountability is preserved even as the system moves away from a paper-based process.</w:t>
      </w:r>
    </w:p>
    <w:p>
      <w:r>
        <w:rPr>
          <w:sz w:val="22"/>
        </w:rPr>
        <w:t>In addition, the regulations introduce appropriate and proportionate safeguards to verify identity when registering a birth. In cases where identity assurance is required, individuals must either use a recognised digital identity verification service or provide documentary evidence to the registrar. This ensures that the integrity of the registration process is maintained, while allowing for greater flexibility in how people engage with the service.</w:t>
      </w:r>
    </w:p>
    <w:p>
      <w:r>
        <w:rPr>
          <w:sz w:val="22"/>
        </w:rPr>
        <w:t>The regulations, as set out in detail, give the types of documents that may be used to establish identity, which include well-known and trusted documents such as passports, biometric immigration documents, travel documents and photo driving licences. In circumstances where not a single document of this kind is available, individuals may provide two supporting documents, such as utility bills, bank or building society statements or official correspondence issued by government bodies. The approach is deliberately balanced. It recognises that while robust identity assurance is essential to protect the accuracy of vital records, there must also be flexibility to accommodate the diverse circumstances of the population. By offering both digital and documentary routes, the regulations promote inclusion, ensuring that individuals are not disadvantaged by their access to technology or documentation. The regulations provide clarity for both registrars and the public.</w:t>
      </w:r>
    </w:p>
    <w:p>
      <w:r>
        <w:rPr>
          <w:sz w:val="22"/>
        </w:rPr>
        <w:t>Crucially, the legal effect of registration is preserved in full. Where a person complies with the specified requirements, they are to be treated in law as having signed the register and, where relevant, as having done so in the presence of the registrar. This ensures continuity and legal certainty, while enabling the practical benefits of an electronic system to be realised.</w:t>
      </w:r>
    </w:p>
    <w:p>
      <w:r>
        <w:rPr>
          <w:sz w:val="22"/>
        </w:rPr>
        <w:t>The benefits of this reform are clear. Moving to an electronic register will improve efficiency within registration services, reduce reliance on paper processes and better align civil registration with wider government digital strategies. It will also provide greater convenience for the public, giving more flexible ways to provide information in the future to complete registrations.</w:t>
      </w:r>
    </w:p>
    <w:p>
      <w:r>
        <w:rPr>
          <w:sz w:val="22"/>
        </w:rPr>
        <w:t>At the same time, and this is important, these regulations will maintain the high standards of accuracy and trust that are fundamental to the registration system. Birth, stillbirth and death records underpin legal identity, public administration and the collection of vital statistics. It is therefore essential that any change to the system continues to safeguard the reliability of these records. The requirements for declaration and identity verification ensure that these standards are upheld.</w:t>
      </w:r>
    </w:p>
    <w:p>
      <w:r>
        <w:rPr>
          <w:sz w:val="22"/>
        </w:rPr>
        <w:t>I hope it is reassuring, in case there are any questions, if I provide clear assurance that the move to an electronic register is underpinned by robust and comprehensive cyber security arrangements. The systems supporting digital registration are designed and operated in accordance with National Cyber Security Centre guidance and wider Cabinet Office security standards, ensuring that personal data is protected against unauthorised access, loss or misuse. This includes the use of secure authentication, encryption of sensitive information and continuous monitoring to detect and respond to potential threats.</w:t>
      </w:r>
    </w:p>
    <w:p>
      <w:r>
        <w:rPr>
          <w:sz w:val="22"/>
        </w:rPr>
        <w:t>In addition, the identity assurance elements of the system align with the Government Digital Service’s good practice guide 45, ensuring that identity verification processes are both secure and proportionate. Taken together, these measures reflect the Government’s firm commitment to safeguarding the integrity of vital records and maintaining public trust as we modernise civil registration. The instrument will deliver a measured and forward-looking reform. It retains the core principles of accountability and integrity that have long underpinned civil registration, while enabling the system to operate effectively in a modern, digital context.</w:t>
      </w:r>
    </w:p>
    <w:p>
      <w:r>
        <w:rPr>
          <w:sz w:val="22"/>
        </w:rPr>
        <w:t>Finally, I place on record my thanks to the officials who have spent many years in gestation of this modernising approach. I thank them for their efforts and continuing support. I beg to move.</w:t>
      </w:r>
    </w:p>
    <w:p/>
    <w:p>
      <w:r>
        <w:rPr>
          <w:b/>
          <w:color w:val="1A4A6E"/>
          <w:sz w:val="22"/>
        </w:rPr>
        <w:t>Viscount Stansgate</w:t>
      </w:r>
    </w:p>
    <w:p>
      <w:r>
        <w:rPr>
          <w:sz w:val="22"/>
        </w:rPr>
        <w:t>My Lords, I do not intend to speak for long at all. Like other Members present here today, I have registered births, deaths and just the one marriage, so far. Of course, it is a very important thing to do. I fully understand my noble friend’s argument that we must move, in the 21st century, to enable these things to be done digitally. A couple of years ago I helped to pilot on to the statute book a Private Member’s Bill to provide a digital version of the lasting power of attorney to avoid the hundreds of pages involved in producing it by a normal, old-fashioned method.</w:t>
      </w:r>
    </w:p>
    <w:p>
      <w:r>
        <w:rPr>
          <w:sz w:val="22"/>
        </w:rPr>
        <w:t>I want to raise two quick points. First, is it in fact being suggested by my noble friend that in the future these things will be done entirely online and that no person will need to go to their local authority to register a birth, marriage or death? Secondly, and he referred to the cyber security aspects of this, it is terribly important. The damage that would be caused were someone to be able to intervene and change the digital record of a birth or a death would have incalculable consequences. I hope that those are two reasonable points to mention to my noble friend.</w:t>
      </w:r>
    </w:p>
    <w:p/>
    <w:p>
      <w:r>
        <w:rPr>
          <w:b/>
          <w:color w:val="1A4A6E"/>
          <w:sz w:val="22"/>
        </w:rPr>
        <w:t>Baroness Neville-Rolfe</w:t>
      </w:r>
    </w:p>
    <w:p>
      <w:r>
        <w:rPr>
          <w:sz w:val="22"/>
        </w:rPr>
        <w:t>My Lords, I support the questions asked by the noble Viscount. I was not clear from the paperwork as to whether you would still need to take your baby to the town hall to register or not, or whether that would become an online process rather like applying for a TfL permit. I had a lot of difficulty with getting the documents through to TfL in a form it would accept. I am, of course, supportive of modernisation and moving to a more electronic basis for lots of very good reasons. But people need to be clear what will happen in future, what the timeframe for that is and whether we will have another discussion before we move to a completely electronic system.</w:t>
      </w:r>
    </w:p>
    <w:p>
      <w:r>
        <w:rPr>
          <w:sz w:val="22"/>
        </w:rPr>
        <w:t>I came here today because I wanted to explain a problem with the current death figures, which I do not think will be removed by the SI because that is addressing the important issue of digital administration. There is, however, a link, because the digital records will be easier to use and easier to search going forward. The fact is that death figures and birth figures are a very important tool for determining the future of public policy. They are used by doctors, by academics for longitudinal studies and, of course, for planning health and social care many years ahead.</w:t>
      </w:r>
    </w:p>
    <w:p>
      <w:r>
        <w:rPr>
          <w:sz w:val="22"/>
        </w:rPr>
        <w:t>I have a story about why they may be becoming less accurate. My husband’s aunt, for whom he had a power of attorney, had a serious health condition. Tests came back saying that her problems were not incompatible with Alzheimer’s. In the next few years, it became clear that, whatever was wrong with her, it was not Alzheimer’s. Moreover, my husband visited her regularly in her nursing home and she always remembered the previous conversations. He discussed it with a consultant psychiatrist who agreed that it was not Alzheimer’s.</w:t>
      </w:r>
    </w:p>
    <w:p>
      <w:r>
        <w:rPr>
          <w:sz w:val="22"/>
        </w:rPr>
        <w:t>When Iris died—my granddaughter is named after her—her death was certified by a locum doctor, and he put Alzheimer’s down as the cause of death. My husband objected to this. He was told he could appeal to get it changed but—and here is the rub—if he did so, it would take several months, and her body could not be buried until the matter was resolved. So, of course, rather than delay the funeral at an emotional time for us all, he dropped the matter. Her wrong record will not be unique. I am sure a change was made after the awful Shipman murders, but it is having a perverse effect. Can I ask the Minister to look at changing the rules so that, when a next of kin disputes the cause of death, burial can still go ahead while the appeal is heard? There could be a provision preventing burial if the police request it.</w:t>
      </w:r>
    </w:p>
    <w:p>
      <w:r>
        <w:rPr>
          <w:sz w:val="22"/>
        </w:rPr>
        <w:t>I have dealt with data accuracy in many roles: Clubcard at Tesco, the use of data for health management at HDR UK and data protection at DCMS. I am troubled by this example of lack of integrity. I hope the Minister will look at it and make sure that the data does indeed have integrity.</w:t>
      </w:r>
    </w:p>
    <w:p/>
    <w:p>
      <w:r>
        <w:rPr>
          <w:b/>
          <w:color w:val="1A4A6E"/>
          <w:sz w:val="22"/>
        </w:rPr>
        <w:t>Lord Davies of Gower</w:t>
      </w:r>
    </w:p>
    <w:p>
      <w:r>
        <w:rPr>
          <w:sz w:val="22"/>
        </w:rPr>
        <w:t>I thank the Minister for introducing these regulations. They are not particularly controversial, so the noble Lord will be delighted to hear that it will be easier to deal with them than with other matters we have before us at times.</w:t>
      </w:r>
    </w:p>
    <w:p>
      <w:r>
        <w:rPr>
          <w:sz w:val="22"/>
        </w:rPr>
        <w:t>These regulations give effect to the provisions in Section 38B of the Births and Deaths Registration Act 1953 as inserted by the Data (Use and Access) Act 2025. The policy intention is to digitise the process of registering births, stillbirths and deaths and end duplication. This, of course, is all very welcome, but I would like to press the Minister on a few points.</w:t>
      </w:r>
    </w:p>
    <w:p>
      <w:r>
        <w:rPr>
          <w:sz w:val="22"/>
        </w:rPr>
        <w:t>First, on the wider process of digitisation and technology upgrades, the General Register Office has acknowledged that the civil registration service is supported by a mixture of legacy systems, many of which are ageing and increasingly difficult to maintain. There are more than 130 million historic records stored on microfilm, which presents risks to the preservation of historic records. I understand that there is a major programme under way, the civil registration service transformation project, to digitise records and update the service. Can the Minister update us on the progress of this programme?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