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Maxton</w:t>
      </w:r>
    </w:p>
    <w:p>
      <w:r>
        <w:rPr>
          <w:sz w:val="20"/>
        </w:rPr>
        <w:t>6 May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https://hansard.parliament.uk/Lords/2025-05-06/debates/325FFF2A-C15D-46F1-83CA-B20A9375A0B9/RetirementOfAMemberLordMaxton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should like to notify the House of the retirement with effect from 5 May of the noble Lord, Lord Maxton, pursuant to Section 1 of the House of Lords Reform Act 2014. On behalf of the House, I should like to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