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East Midlands Combined County Authority (Adult Education Functions) Regulations 2025</w:t>
      </w:r>
    </w:p>
    <w:p>
      <w:r>
        <w:rPr>
          <w:sz w:val="20"/>
        </w:rPr>
        <w:t>6 May 2025  ·  Lords  ·  Committee Stage</w:t>
      </w:r>
    </w:p>
    <w:p>
      <w:r>
        <w:rPr>
          <w:b/>
        </w:rPr>
        <w:t xml:space="preserve">Policy areas: </w:t>
      </w:r>
      <w:r>
        <w:rPr>
          <w:sz w:val="20"/>
        </w:rPr>
        <w:t>Education, training and skills, Government and public administration, Local government</w:t>
      </w:r>
    </w:p>
    <w:p>
      <w:r>
        <w:rPr>
          <w:b/>
        </w:rPr>
        <w:t xml:space="preserve">Topics: </w:t>
      </w:r>
      <w:r>
        <w:rPr>
          <w:sz w:val="20"/>
        </w:rPr>
        <w:t>adult education functions, combined county authority, secondary legislation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https://hansard.parliament.uk/Lords/2025-05-06/debates/0A9F3F7D-974C-4B85-B24F-5DDC81BDFCF5/EastMidlandsCombinedCountyAuthorityAdultEducationFunctionsRegulations2025</w:t>
      </w:r>
    </w:p>
    <w:p/>
    <w:p>
      <w:r>
        <w:rPr>
          <w:b/>
          <w:color w:val="1A4A6E"/>
          <w:sz w:val="22"/>
        </w:rPr>
        <w:t>Baroness Blake of Leeds</w:t>
      </w:r>
    </w:p>
    <w:p>
      <w:r>
        <w:rPr>
          <w:sz w:val="22"/>
        </w:rPr>
        <w:t>That the Grand Committee do consider the East Midlands Combined County Authority (Adult Education Functions) Regulations 2025. Relevant document: 19th Report from the Secondary Legislation Scrutiny Committee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