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East Midlands Combined County Authority (Adult Education Functions) Regulations 2025</w:t>
      </w:r>
    </w:p>
    <w:p>
      <w:r>
        <w:rPr>
          <w:sz w:val="20"/>
        </w:rPr>
        <w:t>6 May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administration, Local government</w:t>
      </w:r>
    </w:p>
    <w:p>
      <w:r>
        <w:rPr>
          <w:b/>
        </w:rPr>
        <w:t xml:space="preserve">Topics: </w:t>
      </w:r>
      <w:r>
        <w:rPr>
          <w:sz w:val="20"/>
        </w:rPr>
        <w:t>adult education functions, combined county authority, secondary legislation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https://hansard.parliament.uk/Lords/2025-05-06/debates/0A9F3F7D-974C-4B85-B24F-5DDC81BDFCF5/EastMidlandsCombinedCountyAuthorityAdultEducationFunctionsRegulations2025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Grand Committee do consider the East Midlands Combined County Authority (Adult Education Functions) Regulations 2025. Relevant document: 19th Report from the Secondary Legislation Scrutiny Committee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