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Mesothelioma Lump Sum Payments (Conditions and Amounts) (Amendment) Regulations 2026</w:t>
      </w:r>
    </w:p>
    <w:p>
      <w:r>
        <w:rPr>
          <w:sz w:val="20"/>
        </w:rPr>
        <w:t>5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Health and social care, Welfare and benefits</w:t>
      </w:r>
    </w:p>
    <w:p>
      <w:r>
        <w:rPr>
          <w:b/>
        </w:rPr>
        <w:t xml:space="preserve">Topics: </w:t>
      </w:r>
      <w:r>
        <w:rPr>
          <w:sz w:val="20"/>
        </w:rPr>
        <w:t>benefit regulations, mesothelioma lump sum payments, pneumoconiosis claims, workers' compensation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https://hansard.parliament.uk/Lords/2026-03-05/debates/9261B0B4-32CA-4F85-BF92-0D2B9738F205/MesotheliomaLumpSumPaymentsConditionsAndAmountsAmendmentRegulations2026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draft Regulations laid before the House on 15 January be approved. Considered in Grand Committee on 2 March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