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Co-operative Sector</w:t>
      </w:r>
    </w:p>
    <w:p>
      <w:r>
        <w:rPr>
          <w:sz w:val="20"/>
        </w:rPr>
        <w:t>5 March 2026  ·  Commons  ·  Oral Questions</w:t>
      </w:r>
    </w:p>
    <w:p>
      <w:r>
        <w:rPr>
          <w:b/>
        </w:rPr>
        <w:t xml:space="preserve">Policy areas: </w:t>
      </w:r>
      <w:r>
        <w:rPr>
          <w:sz w:val="20"/>
        </w:rPr>
        <w:t>Business and industry, Economy, Government and public administration</w:t>
      </w:r>
    </w:p>
    <w:p>
      <w:r>
        <w:rPr>
          <w:b/>
        </w:rPr>
        <w:t xml:space="preserve">Topics: </w:t>
      </w:r>
      <w:r>
        <w:rPr>
          <w:sz w:val="20"/>
        </w:rPr>
        <w:t>co-operative sector growth, community-owned models, high street rental auctions, impact economy office</w:t>
      </w:r>
    </w:p>
    <w:p>
      <w:r>
        <w:rPr>
          <w:b/>
        </w:rPr>
        <w:t xml:space="preserve">Source: </w:t>
      </w:r>
      <w:r>
        <w:rPr>
          <w:sz w:val="20"/>
        </w:rPr>
        <w:t>https://hansard.parliament.uk/Commons/2026-03-05/debates/693E52E8-2574-4011-BCBB-943661635A5D/CooperativeSector</w:t>
      </w:r>
    </w:p>
    <w:p/>
    <w:p>
      <w:r>
        <w:rPr>
          <w:b/>
          <w:color w:val="1A4A6E"/>
          <w:sz w:val="22"/>
        </w:rPr>
        <w:t>Patrick Hurley (Lab)</w:t>
      </w:r>
    </w:p>
    <w:p>
      <w:r>
        <w:rPr>
          <w:sz w:val="22"/>
        </w:rPr>
        <w:t>7. What steps he is taking through the Office for the Impact Economy to help increase the size of the co-operative sector.</w:t>
      </w:r>
    </w:p>
    <w:p/>
    <w:p>
      <w:r>
        <w:rPr>
          <w:b/>
          <w:color w:val="1A4A6E"/>
          <w:sz w:val="22"/>
        </w:rPr>
        <w:t>Satvir Kaur (The Parliamentary Secretary, Cabinet Office)</w:t>
      </w:r>
    </w:p>
    <w:p>
      <w:r>
        <w:rPr>
          <w:sz w:val="22"/>
        </w:rPr>
        <w:t>This Government recognise the enormous value of our co-operative sector. That is why the Office for the Impact Economy is already working closely with other Departments, including the Department for Business and Trade and the Treasury, to grow the co-operative sector and maximise its social and economic impact, helping to deliver the promise of national renewal the country voted for at the last election. I personally look forward to working with my hon. Friend, in his role as chair of the social, co-operative, and community economy all-party parliamentary group, and with the wider sector to build on this.</w:t>
      </w:r>
    </w:p>
    <w:p/>
    <w:p>
      <w:r>
        <w:rPr>
          <w:b/>
          <w:color w:val="1A4A6E"/>
          <w:sz w:val="22"/>
        </w:rPr>
        <w:t>Patrick Hurley</w:t>
      </w:r>
    </w:p>
    <w:p>
      <w:r>
        <w:rPr>
          <w:sz w:val="22"/>
        </w:rPr>
        <w:t>Given the Government’s commitment to growing the co-operative sector, will the Minister commit to working across Government, specifically with the Ministry of Housing, Communities and Local Government, so that high street rental auctions actively prioritise community-owned and co-operative models, and ensure that the Office for the Impact Economy is promoting these economies appropriately?</w:t>
      </w:r>
    </w:p>
    <w:p/>
    <w:p>
      <w:r>
        <w:rPr>
          <w:b/>
          <w:color w:val="1A4A6E"/>
          <w:sz w:val="22"/>
        </w:rPr>
        <w:t>Satvir Kaur</w:t>
      </w:r>
    </w:p>
    <w:p>
      <w:r>
        <w:rPr>
          <w:sz w:val="22"/>
        </w:rPr>
        <w:t>This Government are committed to delivering pride in places where we live. High street rental auctions are a really effective new tool for local authorities to do that, by bringing vacant high street units back into use, while unlocking opportunities for community organisations to access tenancies at reduced rates. Early adopter councils are making great strides in implementing these new powers and sharing best practice. The Office for the Impact Economy and I are working closely with MHCLG and other Departments to maximise the impact of place-based social and economic delivery.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