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National Security Act 2023 (Foreign Activities and Foreign Influence Registration Scheme: Specified Persons) (Iran) Regulations 2025</w:t>
      </w:r>
    </w:p>
    <w:p>
      <w:r>
        <w:rPr>
          <w:sz w:val="20"/>
        </w:rPr>
        <w:t>5 June 2025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Foreign affairs and diplomacy,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foreign influence registration, iran, national security act, specified persons regulations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https://hansard.parliament.uk/Lords/2025-06-05/debates/6BDB5ED1-6F0C-4EE7-9EEB-81746E2D2DDF/NationalSecurityAct2023ForeignActivitiesAndForeignInfluenceRegistrationSchemeSpecifiedPersonsIranRegulations2025</w:t>
      </w:r>
    </w:p>
    <w:p/>
    <w:p>
      <w:r>
        <w:rPr>
          <w:b/>
          <w:color w:val="1A4A6E"/>
          <w:sz w:val="22"/>
        </w:rPr>
        <w:t>Lord Hanson of Flint</w:t>
      </w:r>
    </w:p>
    <w:p>
      <w:r>
        <w:rPr>
          <w:sz w:val="22"/>
        </w:rPr>
        <w:t>That the Grand Committee do consider the National Security Act 2023 (Foreign Activities and Foreign Influence Registration Scheme: Specified Persons) (Iran) Regulations 2025. Relevant document: 23rd Report from the Secondary Legislation Scrutiny Committee (special attention drawn to the instrument)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