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rPr>
          <w:sz w:val="32"/>
        </w:rPr>
        <w:t>National Security Act 2023 (Foreign Activities and Foreign Influence Registration Scheme: Specified Persons) (Russia) Regulations 2025</w:t>
      </w:r>
    </w:p>
    <w:p>
      <w:r>
        <w:rPr>
          <w:sz w:val="20"/>
        </w:rPr>
        <w:t>5 June 2025  ·  Lords  ·  Committee Stage</w:t>
      </w:r>
    </w:p>
    <w:p>
      <w:r>
        <w:rPr>
          <w:b/>
        </w:rPr>
        <w:t xml:space="preserve">Policy areas: </w:t>
      </w:r>
      <w:r>
        <w:rPr>
          <w:sz w:val="20"/>
        </w:rPr>
        <w:t>Crime, justice and law, Foreign affairs and diplomacy, Government and public administration</w:t>
      </w:r>
    </w:p>
    <w:p>
      <w:r>
        <w:rPr>
          <w:b/>
        </w:rPr>
        <w:t xml:space="preserve">Topics: </w:t>
      </w:r>
      <w:r>
        <w:rPr>
          <w:sz w:val="20"/>
        </w:rPr>
        <w:t>foreign influence registration, national security act, russia regulations, specified persons regulations</w:t>
      </w:r>
    </w:p>
    <w:p>
      <w:r>
        <w:rPr>
          <w:b/>
        </w:rPr>
        <w:t xml:space="preserve">Source: </w:t>
      </w:r>
      <w:r>
        <w:rPr>
          <w:sz w:val="20"/>
        </w:rPr>
        <w:t>https://hansard.parliament.uk/Lords/2025-06-05/debates/2B8F8383-73AA-452E-BF90-937C1B9E1C0C/NationalSecurityAct2023ForeignActivitiesAndForeignInfluenceRegistrationSchemeSpecifiedPersonsRussiaRegulations2025</w:t>
      </w:r>
    </w:p>
    <w:p/>
    <w:p>
      <w:r>
        <w:rPr>
          <w:b/>
          <w:color w:val="1A4A6E"/>
          <w:sz w:val="22"/>
        </w:rPr>
        <w:t>Lord Hanson of Flint</w:t>
      </w:r>
    </w:p>
    <w:p>
      <w:r>
        <w:rPr>
          <w:sz w:val="22"/>
        </w:rPr>
        <w:t>That the Grand Committee do consider the National Security Act 2023 (Foreign Activities and Foreign Influence Registration Scheme: Specified Persons) (Russia) Regulations 2025. Relevant document: 23rd Report from the Secondary Legislation Scrutiny Committee (special attention drawn to the instrument)</w:t>
      </w:r>
    </w:p>
    <w:p/>
    <w:p>
      <w:r>
        <w:rPr>
          <w:sz w:val="18"/>
        </w:rPr>
        <w:t>Source: Hansard (Parliament Open Parliament Licence v3.0). Exported from Westminster Brief — westminsterbrief.co.uk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