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Act 2023 (Foreign Activities and Foreign Influence Registration Scheme: Specified Persons) (Russia) Regulations 2025</w:t>
      </w:r>
    </w:p>
    <w:p>
      <w:r>
        <w:rPr>
          <w:sz w:val="20"/>
        </w:rPr>
        <w:t>5 June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Foreign affairs and diplomacy,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foreign influence registration, national security act, russia regulations, specified persons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https://hansard.parliament.uk/Lords/2025-06-05/debates/2B8F8383-73AA-452E-BF90-937C1B9E1C0C/NationalSecurityAct2023ForeignActivitiesAndForeignInfluenceRegistrationSchemeSpecifiedPersonsRussiaRegulations2025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Grand Committee do consider the National Security Act 2023 (Foreign Activities and Foreign Influence Registration Scheme: Specified Persons) (Russia) Regulations 2025. Relevant document: 23rd Report from the Secondary Legislation Scrutiny Committee (special attention drawn to the instrument)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