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Regional Economic Growth: Pension Funds</w:t>
      </w:r>
    </w:p>
    <w:p>
      <w:r>
        <w:rPr>
          <w:sz w:val="20"/>
        </w:rPr>
        <w:t>4 November 2025  ·  Commons  ·  Oral Questions</w:t>
      </w:r>
    </w:p>
    <w:p>
      <w:r>
        <w:rPr>
          <w:b/>
        </w:rPr>
        <w:t xml:space="preserve">Policy areas: </w:t>
      </w:r>
      <w:r>
        <w:rPr>
          <w:sz w:val="20"/>
        </w:rPr>
        <w:t>Economy, Finance and taxation, Government and public administration</w:t>
      </w:r>
    </w:p>
    <w:p>
      <w:r>
        <w:rPr>
          <w:b/>
        </w:rPr>
        <w:t xml:space="preserve">Topics: </w:t>
      </w:r>
      <w:r>
        <w:rPr>
          <w:sz w:val="20"/>
        </w:rPr>
        <w:t>local government pensions, mansion house reforms, pension fund investment, productive assets, regional economic growth</w:t>
      </w:r>
    </w:p>
    <w:p>
      <w:r>
        <w:rPr>
          <w:b/>
        </w:rPr>
        <w:t xml:space="preserve">Source: </w:t>
      </w:r>
      <w:r>
        <w:rPr>
          <w:sz w:val="20"/>
        </w:rPr>
        <w:t>https://hansard.parliament.uk/Commons/2025-11-04/debates/51056DB1-7D82-407C-84D1-029A1FBCEA71/RegionalEconomicGrowthPensionFunds</w:t>
      </w:r>
    </w:p>
    <w:p/>
    <w:p>
      <w:r>
        <w:rPr>
          <w:b/>
          <w:color w:val="1A4A6E"/>
          <w:sz w:val="22"/>
        </w:rPr>
        <w:t>Anna Dixon (Lab)</w:t>
      </w:r>
    </w:p>
    <w:p>
      <w:r>
        <w:rPr>
          <w:sz w:val="22"/>
        </w:rPr>
        <w:t>4. What steps she is taking with pension providers to help increase regional economic growth.</w:t>
      </w:r>
    </w:p>
    <w:p/>
    <w:p>
      <w:r>
        <w:rPr>
          <w:b/>
          <w:color w:val="1A4A6E"/>
          <w:sz w:val="22"/>
        </w:rPr>
        <w:t>Torsten Bell (The Parliamentary Secretary to the Treasury)</w:t>
      </w:r>
    </w:p>
    <w:p>
      <w:r>
        <w:rPr>
          <w:sz w:val="22"/>
        </w:rPr>
        <w:t>At the heart of this Government’s pension reforms is the goal of bigger and better pension schemes. We are legislating for that in the Pension Schemes Bill by requiring all local government pension scheme assets to be pooled next year, and multi-employer defined contribution schemes to have at least £25 billion-worth of assets. This reform agenda will deliver returns for savers and ensure that schemes have the scale required to invest in productive assets across the country.</w:t>
      </w:r>
    </w:p>
    <w:p/>
    <w:p>
      <w:r>
        <w:rPr>
          <w:b/>
          <w:color w:val="1A4A6E"/>
          <w:sz w:val="22"/>
        </w:rPr>
        <w:t>Anna Dixon</w:t>
      </w:r>
    </w:p>
    <w:p>
      <w:r>
        <w:rPr>
          <w:sz w:val="22"/>
        </w:rPr>
        <w:t>Many of my constituents have assets in the West Yorkshire Pension Fund, which manages more than £19 million. I am concerned, however, that some of the fund’s investments are concentrated in sectors that cause harm, such as the fossil fuel industry. Does the Minister agree that the West Yorkshire Pension Fund could invest in socially valuable activities, such as the regeneration of the town centre in Shipley and social homes?</w:t>
      </w:r>
    </w:p>
    <w:p/>
    <w:p>
      <w:r>
        <w:rPr>
          <w:b/>
          <w:color w:val="1A4A6E"/>
          <w:sz w:val="22"/>
        </w:rPr>
        <w:t>Torsten Bell</w:t>
      </w:r>
    </w:p>
    <w:p>
      <w:r>
        <w:rPr>
          <w:sz w:val="22"/>
        </w:rPr>
        <w:t>The LGPS actually has a strong track record of local investment of exactly the kind that my hon. Friend mentions, including in social housing, and we want to build on that record. The Pension Schemes Bill will introduce requirements for local government pension scheme pools to work with strategic authorities, including mayoral strategic authorities, on local investment opportunities— [Interruption.] Before they decided that full-time chuntering was their business of the day, I thought the Conservatives used to be in favour of that. With the highest sustained levels of public investment since the 1970s, Britain will get back in the business of investing in its future once again.</w:t>
      </w:r>
    </w:p>
    <w:p/>
    <w:p>
      <w:r>
        <w:rPr>
          <w:b/>
          <w:color w:val="1A4A6E"/>
          <w:sz w:val="22"/>
        </w:rPr>
        <w:t>Alan Mak (Con)</w:t>
      </w:r>
    </w:p>
    <w:p>
      <w:r>
        <w:rPr>
          <w:sz w:val="22"/>
        </w:rPr>
        <w:t>Pension providers play a key role in helping Britain’s tech start-ups turn into world-leading scale-ups, but around £3 trillion in pension funds sits idle. That money should be used to support our tech sector. Will the Minister commit to accelerating the Mansion House reforms successfully introduced by the last Conservative Government?</w:t>
      </w:r>
    </w:p>
    <w:p/>
    <w:p>
      <w:r>
        <w:rPr>
          <w:b/>
          <w:color w:val="1A4A6E"/>
          <w:sz w:val="22"/>
        </w:rPr>
        <w:t>Torsten Bell</w:t>
      </w:r>
    </w:p>
    <w:p>
      <w:r>
        <w:rPr>
          <w:sz w:val="22"/>
        </w:rPr>
        <w:t>I thank the hon. Member for his question. I agree with where he started, but unfortunately he then went on to praise some of the work done under the last Government, when we did not see the investment that he talks about coming through and reaching entrepreneurs, who he rightly says we should do more to support. That is what the Mansion House Accord, which we have now put in place and supported for the private sector, is doing, and what the British Business Bank is doing by bringing forward the British Growth Partnership. We need to see UK pension funds investing in our most innovative, fastest-growing companies.</w:t>
      </w:r>
    </w:p>
    <w:p/>
    <w:p>
      <w:r>
        <w:rPr>
          <w:b/>
          <w:color w:val="1A4A6E"/>
          <w:sz w:val="22"/>
        </w:rPr>
        <w:t>Callum Anderson (Lab)</w:t>
      </w:r>
    </w:p>
    <w:p>
      <w:r>
        <w:rPr>
          <w:sz w:val="22"/>
        </w:rPr>
        <w:t>The establishment of the Sterling 20 sends a strong signal that this country is serious about mobilising more of its own domestic capital into productive domestic assets. As the Oxford-Cambridge growth corridor’s anchor, my Buckingham and Bletchley constituency is primed to offer high-quality investment opportunities. Can the Minister set out more detail about how he is working with local authorities, such as the Labour-run Milton Keynes city council, to ensure that we provide that pipeline, and will he meet me to discuss how we can take it further?</w:t>
      </w:r>
    </w:p>
    <w:p/>
    <w:p>
      <w:r>
        <w:rPr>
          <w:b/>
          <w:color w:val="1A4A6E"/>
          <w:sz w:val="22"/>
        </w:rPr>
        <w:t>Torsten Bell</w:t>
      </w:r>
    </w:p>
    <w:p>
      <w:r>
        <w:rPr>
          <w:sz w:val="22"/>
        </w:rPr>
        <w:t>My hon. Friend is always a powerful advocate, both for the fast-growing companies in his constituency and for the right pension policy for the UK as a whole, as we saw when he sat on the Pension Schemes Public Bill Committee. Sterling 20 is a new, investor-led partnership between the UK’s 20 largest pension funds and insurers. It was established at the regional investment summit in Birmingham on 21 October, and we are working closely with the partnership to deliver exactly the kind of investment that my hon. Friend talks about.</w:t>
      </w:r>
    </w:p>
    <w:p/>
    <w:p>
      <w:r>
        <w:rPr>
          <w:b/>
          <w:color w:val="1A4A6E"/>
          <w:sz w:val="22"/>
        </w:rPr>
        <w:t>Peter Bedford (Con)</w:t>
      </w:r>
    </w:p>
    <w:p>
      <w:r>
        <w:rPr>
          <w:sz w:val="22"/>
        </w:rPr>
        <w:t>Pension scheme trustees have an obligation to make decisions that they believe are in the best interests of savers, which is otherwise known as their fiduciary duty. The reserve powers in the Pension Schemes Bill could force investment in Government vanity projects, which is contrary to that duty. Does the Minister agree with me and much of the pension industry that mandation is a massive state overreach and is gambling with the futures of those saving for retirement?</w:t>
      </w:r>
    </w:p>
    <w:p/>
    <w:p>
      <w:r>
        <w:rPr>
          <w:b/>
          <w:color w:val="1A4A6E"/>
          <w:sz w:val="22"/>
        </w:rPr>
        <w:t>Torsten Bell</w:t>
      </w:r>
    </w:p>
    <w:p>
      <w:r>
        <w:rPr>
          <w:sz w:val="22"/>
        </w:rPr>
        <w:t>No, not at all.</w:t>
      </w:r>
    </w:p>
    <w:p/>
    <w:p>
      <w:r>
        <w:rPr>
          <w:b/>
          <w:color w:val="1A4A6E"/>
          <w:sz w:val="22"/>
        </w:rPr>
        <w:t>Speaker</w:t>
      </w:r>
    </w:p>
    <w:p>
      <w:r>
        <w:rPr>
          <w:sz w:val="22"/>
        </w:rPr>
        <w:t>I call the shadow Minister.</w:t>
      </w:r>
    </w:p>
    <w:p/>
    <w:p>
      <w:r>
        <w:rPr>
          <w:b/>
          <w:color w:val="1A4A6E"/>
          <w:sz w:val="22"/>
        </w:rPr>
        <w:t>Gareth Davies (Con)</w:t>
      </w:r>
    </w:p>
    <w:p>
      <w:r>
        <w:rPr>
          <w:sz w:val="22"/>
        </w:rPr>
        <w:t>Mobilising more investment from the UK pension fund market is critical to driving regional economic growth. The Chancellor says that she is a builder, not a blocker, but her proposed builders tax threatens to drastically increase the cost of building anything from homes and roads to nuclear power stations. This will make investing in UK infrastructure increasingly unviable. To avoid even more investment-killing uncertainty, will the Minister agree to scrap Labour’s proposed landfill tax reforms and let Britain get back to building?</w:t>
      </w:r>
    </w:p>
    <w:p/>
    <w:p>
      <w:r>
        <w:rPr>
          <w:b/>
          <w:color w:val="1A4A6E"/>
          <w:sz w:val="22"/>
        </w:rPr>
        <w:t>Torsten Bell</w:t>
      </w:r>
    </w:p>
    <w:p>
      <w:r>
        <w:rPr>
          <w:sz w:val="22"/>
        </w:rPr>
        <w:t>I can reassure the hon. Member that we are scrapping the attitude of the Conservative party, which blocked any building from happening anywhere in this country year after year. Houses were blocked. Railways were blocked. Anything that involved any difficult choices was blocked by a party that gave up governing long before the general election.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