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Retirement of a Member: Lord Mandelson</w:t>
      </w:r>
    </w:p>
    <w:p>
      <w:r>
        <w:rPr>
          <w:sz w:val="20"/>
        </w:rPr>
        <w:t>4 February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https://hansard.parliament.uk/Lords/2026-02-04/debates/610E5995-8EA2-4A7B-945E-A97ED3CA5678/RetirementOfAMemberLordMandelson</w:t>
      </w:r>
    </w:p>
    <w:p/>
    <w:p>
      <w:r>
        <w:rPr>
          <w:b/>
          <w:color w:val="1A4A6E"/>
          <w:sz w:val="22"/>
        </w:rPr>
        <w:t>Lord Forsyth of Drumlean (The Lord Speaker)</w:t>
      </w:r>
    </w:p>
    <w:p>
      <w:r>
        <w:rPr>
          <w:sz w:val="22"/>
        </w:rPr>
        <w:t>My Lords, I announced in the Chamber yesterday that the noble Lord, Lord Mandelson, had given notice of his retirement. I now formally notify the House of his retirement, with effect from today, pursuant to Section 1 of the House of Lords Reform Act 2014.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