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30 June 2026  ·  Commons  ·  Proceedings</w:t>
      </w:r>
    </w:p>
    <w:p>
      <w:r>
        <w:rPr>
          <w:b/>
        </w:rPr>
        <w:t xml:space="preserve">Source: </w:t>
      </w:r>
      <w:r>
        <w:rPr>
          <w:sz w:val="20"/>
        </w:rPr>
        <w:t>https://hansard.parliament.uk/Commons/2026-06-30/debates/FDAA8B0A-1AD7-4701-88C2-8AA689D8E15C/PointsOfOrder</w:t>
      </w:r>
    </w:p>
    <w:p/>
    <w:p>
      <w:r>
        <w:rPr>
          <w:b/>
          <w:color w:val="1A4A6E"/>
          <w:sz w:val="22"/>
        </w:rPr>
        <w:t>Bell Ribeiro-Addy (Lab)</w:t>
      </w:r>
    </w:p>
    <w:p>
      <w:r>
        <w:rPr>
          <w:sz w:val="22"/>
        </w:rPr>
        <w:t>On a point of order, Madam Deputy Speaker. Since the proscription of Palestine Action last year, I have received hundreds of emails from constituents concerned about the decision, arrests for actions as minor as holding up a sign, and the wider chilling effect on protest rights. I am on record as opposing the proscription. I was a Teller for the Noes, so my position is well documented. With the Court of Appeal upholding the ban this month, much more correspondence has followed. I am genuinely unsure whether I can even explain the view that I held at the time without breaking the law.</w:t>
      </w:r>
    </w:p>
    <w:p>
      <w:r>
        <w:rPr>
          <w:sz w:val="22"/>
        </w:rPr>
        <w:t>An answer to a written question that I tabled gave little clarity, simply citing the Terrorism Act 2000, which makes it an offence to express support for a proscribed organisation. If I write to a constituent, and they post my letter online, did I break the law? Did they break the law? Did we both break the law? There is something deeply wrong here. I can stand in this Chamber and say, or write in a letter, words that could get a constituent arrested, if they put them on a placard. If an MP cannot say with confidence what is lawful, what hope does a member of the public have? Madam Deputy Speaker, can you advise on how MPs can get clear guidance on what we can and cannot say about Palestine Action, especially since the Secretary of State cannot seem to give that advice, particularly in my case, as I would simply be citing a matter of record?</w:t>
      </w:r>
    </w:p>
    <w:p/>
    <w:p>
      <w:r>
        <w:rPr>
          <w:b/>
          <w:color w:val="1A4A6E"/>
          <w:sz w:val="22"/>
        </w:rPr>
        <w:t>Madam Deputy Speaker</w:t>
      </w:r>
    </w:p>
    <w:p>
      <w:r>
        <w:rPr>
          <w:sz w:val="22"/>
        </w:rPr>
        <w:t>I am grateful to the hon. Member for giving notice of her point of order. The House will know that everything that hon. Members say in the course of proceedings in this House is protected by the privilege of freedom of speech set out in article 9 of the Bill of Rights. However, when it comes to what hon. Members say outside this place, that is a question of the operation of the law, and it is not a matter on which I can offer advice from the Chair.</w:t>
      </w:r>
    </w:p>
    <w:p/>
    <w:p>
      <w:r>
        <w:rPr>
          <w:b/>
          <w:color w:val="1A4A6E"/>
          <w:sz w:val="22"/>
        </w:rPr>
        <w:t>Munira Wilson (LD)</w:t>
      </w:r>
    </w:p>
    <w:p>
      <w:r>
        <w:rPr>
          <w:sz w:val="22"/>
        </w:rPr>
        <w:t>On a point of order, Madam Deputy Speaker. I wrote to the Justice Minister in the other place, Baroness Levitt, on 20 March this year on behalf of my constituent Lowrie Roberts, regarding the existing policy and legal framework relating to contact rights between extended family and children following parental separation. Despite repeatedly chasing a response by email and by written parliamentary question, I have yet to receive a response for my constituent. I would like your advice on how I might be able to secure a response from the Ministry of Justice.</w:t>
      </w:r>
    </w:p>
    <w:p/>
    <w:p>
      <w:r>
        <w:rPr>
          <w:b/>
          <w:color w:val="1A4A6E"/>
          <w:sz w:val="22"/>
        </w:rPr>
        <w:t>Madam Deputy Speaker</w:t>
      </w:r>
    </w:p>
    <w:p>
      <w:r>
        <w:rPr>
          <w:sz w:val="22"/>
        </w:rPr>
        <w:t>I am grateful to the hon. Member for having given notice of her point of order. As she will know, the content and timeliness of ministerial answers, either to parliamentary questions or correspondence from Members, is not a matter for the Chair. However, it is important that Members receive replies. I would advise her to consult the Table Office on her options for pursuing this matter further. She may also wish to write to the Procedure Committee, but I know that the occupants of the Treasury Bench will have heard what she has said.</w:t>
      </w:r>
    </w:p>
    <w:p/>
    <w:p>
      <w:r>
        <w:rPr>
          <w:b/>
          <w:color w:val="1A4A6E"/>
          <w:sz w:val="22"/>
        </w:rPr>
        <w:t>Chris Vince (Lab/Co-op)</w:t>
      </w:r>
    </w:p>
    <w:p>
      <w:r>
        <w:rPr>
          <w:sz w:val="22"/>
        </w:rPr>
        <w:t>On a point of order, Madam Deputy Speaker. In the previous statement, conversation was had about the future of the UK Health Security Agency. You will be aware that the Government last year made a decision that the new site of the UK Health Security Agency would be in my constituency of Harlow. It is therefore not subject to the defence investment plan. I just wanted to get that on the record.</w:t>
      </w:r>
    </w:p>
    <w:p/>
    <w:p>
      <w:r>
        <w:rPr>
          <w:b/>
          <w:color w:val="1A4A6E"/>
          <w:sz w:val="22"/>
        </w:rPr>
        <w:t>Madam Deputy Speaker</w:t>
      </w:r>
    </w:p>
    <w:p>
      <w:r>
        <w:rPr>
          <w:sz w:val="22"/>
        </w:rPr>
        <w:t>I thank the hon. Gentleman for his point of order, which he will know was not a matter for the Chair, but he has put his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