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Security (State Threats) Bill</w:t>
      </w:r>
    </w:p>
    <w:p>
      <w:r>
        <w:rPr>
          <w:sz w:val="20"/>
        </w:rPr>
        <w:t>30 June 2026  ·  Lords  ·  Debate</w:t>
      </w:r>
    </w:p>
    <w:p>
      <w:r>
        <w:rPr>
          <w:b/>
        </w:rPr>
        <w:t xml:space="preserve">Policy areas: </w:t>
      </w:r>
      <w:r>
        <w:rPr>
          <w:sz w:val="20"/>
        </w:rPr>
        <w:t>Crime, justice and law, Foreign affairs and diplomacy, Government and public administration</w:t>
      </w:r>
    </w:p>
    <w:p>
      <w:r>
        <w:rPr>
          <w:b/>
        </w:rPr>
        <w:t xml:space="preserve">Topics: </w:t>
      </w:r>
      <w:r>
        <w:rPr>
          <w:sz w:val="20"/>
        </w:rPr>
        <w:t>ccp surveillance operation, espionage, foreign power threat activity, hong kong economic and trade office, national security</w:t>
      </w:r>
    </w:p>
    <w:p>
      <w:r>
        <w:rPr>
          <w:b/>
        </w:rPr>
        <w:t xml:space="preserve">Source: </w:t>
      </w:r>
      <w:r>
        <w:rPr>
          <w:sz w:val="20"/>
        </w:rPr>
        <w:t>https://hansard.parliament.uk/Lords/2026-06-30/debates/A9B3AF3E-F1BD-4588-90E6-FE3100192187/NationalSecurityStateThreatsBill</w:t>
      </w:r>
    </w:p>
    <w:p/>
    <w:p>
      <w:r>
        <w:rPr>
          <w:b/>
          <w:color w:val="1A4A6E"/>
          <w:sz w:val="22"/>
        </w:rPr>
        <w:t>Baroness Hayter of Kentish Town</w:t>
      </w:r>
    </w:p>
    <w:p>
      <w:r>
        <w:rPr>
          <w:sz w:val="22"/>
        </w:rPr>
        <w:t>My Lords, this amendment is in my name and those of the noble Baronesses, Lady Ludford and Lady Foster, and the noble Lord, Lord Alton, who has other relevant amendments in this group. Amendment 1 is a probing amendment that enables the Minister to clarify the exact breadth of the intention in the Bill—a Bill that I welcome, and I regret I was not able to be here at Second Reading to say so. The Bill is designed to address the threat posed by foreign state-linked organisations that operate here in the UK.</w:t>
      </w:r>
    </w:p>
    <w:p>
      <w:r>
        <w:rPr>
          <w:sz w:val="22"/>
        </w:rPr>
        <w:t>My amendment relates in particular to the Hong Kong Economic and Trade Office, whose office manager, Bill Yuen, was recently convicted and sentenced to eight years in prison under the National Security Act 2023 for helping to run a CCP surveillance operation from its premises. The existence of this office dates back to the Hong Kong Economic and Trade Office Act 1996, passed on the premise that Hong Kong was meaningfully autonomous from Beijing. “One country, two systems” was meant to mean that separate legal, economic and administrative systems would be permitted in Hong Kong, albeit as part of China. Any such pre-1997 autonomy or even post-1997 freedoms are clearly no longer the case, yet somehow the office survives, supposedly independent of the Chinese embassy but with at least one of its staff acting on behalf of the Chinese Communist Party.</w:t>
      </w:r>
    </w:p>
    <w:p>
      <w:r>
        <w:rPr>
          <w:sz w:val="22"/>
        </w:rPr>
        <w:t>This has involved surveillance of some of our own citizens and of Hong Kong dissidents resident in the UK. Indeed, Regina Ip, former convenor of Hong Kong’s Executive Council, even claimed that it was legal for the Hong Kong Economic and Trade Office to gather intelligence on activists. Both sorts of surveillance are surely intolerable.</w:t>
      </w:r>
    </w:p>
    <w:p>
      <w:r>
        <w:rPr>
          <w:sz w:val="22"/>
        </w:rPr>
        <w:t>Perhaps it is possible to describe activity against UK citizens as activity involving a threat by a foreign state and therefore a threat to the safety or interests of the UK as defined in the Bill, but what about similar actions affecting Hong Kong citizens? Would they be covered if some foreign policy threat activity included espionage, given that surveillance of UK residents would be reported back to China? I assume it would count as espionage, especially as the Hong Kong Economic and Trade Office funded Bill Yuen’s legal costs and its salaried staff attended most of the trial at the Old Bailey to show support for him, even while the office enjoyed the privilege confirmed by Parliament in the hopeful days of 1996.</w:t>
      </w:r>
    </w:p>
    <w:p>
      <w:r>
        <w:rPr>
          <w:sz w:val="22"/>
        </w:rPr>
        <w:t>The Bill is to deal with the threat posed by foreign state-linked organisations operating in the UK. The Hong Kong Economic and Trade Office is a foreign state-linked organisation and is operating here in London. We should protect our citizens from its activities but also protect UK residents who are classified as dissident activists by the Chinese state, some of whom have bounties on their heads. I hope, in response, my noble friend the Minister can provide some assurance that this body and its nefarious activities would be in scope of the Bill’s intent. I beg to move.</w:t>
      </w:r>
    </w:p>
    <w:p/>
    <w:p>
      <w:r>
        <w:rPr>
          <w:b/>
          <w:color w:val="1A4A6E"/>
          <w:sz w:val="22"/>
        </w:rPr>
        <w:t>Lord Alton of Liverpool</w:t>
      </w:r>
    </w:p>
    <w:p>
      <w:r>
        <w:rPr>
          <w:sz w:val="22"/>
        </w:rPr>
        <w:t>My Lords, it is a great pleasure to follow the noble Baroness, Lady Hayter. This builds on the Private Notice Question which she placed before your Lordships’ House and indeed on our Second Reading debate last week where the Hong Kong Economic and Trade Office, which, as the noble Baroness has rightly said, is a relic of the past, became the centre of our interest because of some of those who worked there being convicted of being involved in espionage on behalf of the Chinese Communist Party regime in Beijing. That is why it is entirely relevant to this Bill and why it is good that the noble Baroness has placed Amendment 1, this probing amendment, before your Lordships’ Committee.</w:t>
      </w:r>
    </w:p>
    <w:p>
      <w:r>
        <w:rPr>
          <w:sz w:val="22"/>
        </w:rPr>
        <w:t>I have a few points I would like to make on that amendment before turning to my own Amendments 3 and 4, which deal with slightly different questions but are also linked to the malign activities of the Chinese Communist Party regime in the UK. Amendment 3 deals with transnational repression, and Amendment 4 deals with the activities of the United Front, which is not a state but works in line with the wishes and ideology of the Chinese Communist Party. That is why it is problematic in terms of the definitions in the Bill and why I have sought further clarification through my amendments.</w:t>
      </w:r>
    </w:p>
    <w:p>
      <w:r>
        <w:rPr>
          <w:sz w:val="22"/>
        </w:rPr>
        <w:t>I have a few pointers on the Hong Kong Economic and Trade Office case, which might be helpful to your Lordships. In May 2024, law enforcement initially arrested 11 individuals across the UK. Only three of those were heavily linked to state funding via the London Hong Kong office referred to by the noble Baroness. Only three were prosecuted under the National Security Act 2023. Two have since been convicted and—as the noble Lord, Lord Hanson of Flint, was quite right to remind us during Second Reading last week—were subjected to very lengthy prison sentences. The remaining eight individuals suspected of acting as part of the vigilante team in contact with entities in Hong Kong and targeting an individual on British soil were released without charge.</w:t>
      </w:r>
    </w:p>
    <w:p>
      <w:r>
        <w:rPr>
          <w:sz w:val="22"/>
        </w:rPr>
        <w:t>This case highlights a common practice whereby Chinese and Hong Kong authorities blend private civil disputes, corporate debt collection and local organised crime groups—a point that I heard more about recently at a meeting organised by Tom Tugendhat MP, our former Security Minister, which pointed to the activities of organised crime linked to some of these groups promoting a political ideology. All of those are involved in the execution of transnational repression and jurisdiction overseas while evading national security prosecution.</w:t>
      </w:r>
    </w:p>
    <w:p>
      <w:r>
        <w:rPr>
          <w:sz w:val="22"/>
        </w:rPr>
        <w:t>I have four questions I would like to put the Minister on Amendment 1 before turning to those other two amendments. I am sorry they have been grouped together, but I think it is for the convenience of the House. I hope the House will therefore forgive me if I spend a bit of time speaking to the other two amendments, but here are my questions to build on what the noble Baroness, Lady Hayter, has said already.</w:t>
      </w:r>
    </w:p>
    <w:p>
      <w:r>
        <w:rPr>
          <w:sz w:val="22"/>
        </w:rPr>
        <w:t>First, of the 11 individuals initially arrested by counterterrorism police in connection with the hostile tracking of a Hong Kong resident in Yorkshire, eight were subsequently released without trial. Can the Minister inform the House how many of those eight have since left the United Kingdom and whether any have returned to the jurisdiction of the People’s Republic of China or the Hong Kong special administrative region, thereby placing themselves beyond the reach of British justice?</w:t>
      </w:r>
    </w:p>
    <w:p>
      <w:r>
        <w:rPr>
          <w:sz w:val="22"/>
        </w:rPr>
        <w:t>Secondly, is the Minister confident that counterterrorism and the Crown Prosecution Service—the CPS—possess the immediate capacity to process massive backlogs of foreign language evidence quickly enough to meet custody time limits? That has been an issue relevant to these prosecutions. Specifically, was a lack of rapid security-vetted translation capacity a contributing factor in the decision to release the other eight suspects without pressing charges?</w:t>
      </w:r>
    </w:p>
    <w:p>
      <w:r>
        <w:rPr>
          <w:sz w:val="22"/>
        </w:rPr>
        <w:t>Thirdly, is the Minister satisfied that our law enforcement agencies, including the NCA—the National Crime Agency—and regional special branches have the required resources to effectively monitor and map the nexus between Chinese state authorities, overseas proxy organisations and private contractors operating inside the United Kingdom?</w:t>
      </w:r>
    </w:p>
    <w:p>
      <w:r>
        <w:rPr>
          <w:sz w:val="22"/>
        </w:rPr>
        <w:t>Fourthly, what steps are the Government taking to bolster the China capabilities of UK law enforcement? Specifically, are we investing in the recruitment and training of security-vetted interpreters, fluent not just in Mandarin and Cantonese but in crucial dialects such as Hokkien and Fuzhou dialects, to effectively monitor and respond to issues related to transnational state repression and organised crime? This was referred to during the meeting that Tom Tugendhat MP organised in the House Commons recently and which, as I say, I was able to attend.</w:t>
      </w:r>
    </w:p>
    <w:p>
      <w:r>
        <w:rPr>
          <w:sz w:val="22"/>
        </w:rPr>
        <w:t>Let me turn to Amendment 3. I do not want to go on too much about this amendment, because I was able to have a very helpful and constructive meeting with the noble Lord, Lord Hanson of Flint, yesterday. I say at the outset that I will not press your Lordships to divide on this amendment, in the light of the very helpful assurances which he gave me yesterday. But I will just recap. On 26 February, I initiated a debate on behalf of the Joint Committee on Human Rights, which I have the privilege to chair, about our report on transnational repression. It was a thorough debate and the Minister replied in his courteous manner. However, his reply did not meet all of the questions which we raised in that debate, or indeed in the report. I returned to it on 21 May, during the King’s Speech debate, and subsequently in a balloted debate that I won, which was secured for 4 June and which dealt with atrocity crimes. This is also an amendment which Alicia Kearns, Member of Parliament, raised in the House of Commons during its six-hour consideration of the Bill.</w:t>
      </w:r>
    </w:p>
    <w:p>
      <w:r>
        <w:rPr>
          <w:sz w:val="22"/>
        </w:rPr>
        <w:t>Without dwelling too much on procedural issues, I think all of us who have been around this place and have had the privilege to serve in both Houses know that to give the House of Commons only six hours of debate on a major Bill of this importance, and then to come to your Lordships and do all the remaining stages in one day flat, as we are doing today—Committee, Report and Third Reading—is clearly absurd, given that this is based on Jonathan Hall’s excellent report of 11 months ago, as is the idea that we have not had time during that period to debate some of these questions. Furthermore, it cannot be right that the Home Affairs Select Committee was unable to take evidence on the Bill, even though it requested it, or that my own committee, which wanted to scrutinise the Bill, was left to just write a letter to the Minister. The Minister has responded to that in his usual courteous way, and I am grateful, but how much better it would have been to have pre-legislative scrutiny and proper consideration of the Bill in the normal way. There are some questions that the noble Baroness, Lady Hayter, has asked and I am asking, and I know that colleagues from the Conservative Opposition Benches, the Liberal Democrat Benches and elsewhere on the Cross Benches have legitimate questions to ask about the Bill.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