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Lord Wallace  of Tankerness</w:t>
      </w:r>
    </w:p>
    <w:p>
      <w:r>
        <w:rPr>
          <w:sz w:val="20"/>
        </w:rPr>
        <w:t>30 January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https://hansard.parliament.uk/Lords/2026-01-30/debates/53AED887-2F51-464D-A183-C763BA4CB1A7/DeathOfAMemberLordWallaceOfTankerness</w:t>
      </w:r>
    </w:p>
    <w:p/>
    <w:p>
      <w:r>
        <w:rPr>
          <w:b/>
          <w:color w:val="1A4A6E"/>
          <w:sz w:val="22"/>
        </w:rPr>
        <w:t>Lord Gardiner of Kimble (The Senior Deputy Speaker)</w:t>
      </w:r>
    </w:p>
    <w:p>
      <w:r>
        <w:rPr>
          <w:sz w:val="22"/>
        </w:rPr>
        <w:t>My Lords, I much regret to inform the House of the death of the noble and learned Lord, Lord Wallace of Tankerness, on Thursday 29 January. On behalf of the House, I extend our condolences to the noble and learned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