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Property (Digital Assets etc) Bill [HL]</w:t>
      </w:r>
    </w:p>
    <w:p>
      <w:r>
        <w:rPr>
          <w:sz w:val="20"/>
        </w:rPr>
        <w:t>30 April 2025  ·  Lords  ·  Debate</w:t>
      </w:r>
    </w:p>
    <w:p>
      <w:r>
        <w:rPr>
          <w:b/>
        </w:rPr>
        <w:t xml:space="preserve">Policy areas: </w:t>
      </w:r>
      <w:r>
        <w:rPr>
          <w:sz w:val="20"/>
        </w:rPr>
        <w:t>Business and industry, Economy, Finance and taxation, Parliament and constitution</w:t>
      </w:r>
    </w:p>
    <w:p>
      <w:r>
        <w:rPr>
          <w:b/>
        </w:rPr>
        <w:t xml:space="preserve">Topics: </w:t>
      </w:r>
      <w:r>
        <w:rPr>
          <w:sz w:val="20"/>
        </w:rPr>
        <w:t>capital markets dematerialisation, digital assets property, fintech law reform, legal classification of assets, personal property rights</w:t>
      </w:r>
    </w:p>
    <w:p>
      <w:r>
        <w:rPr>
          <w:b/>
        </w:rPr>
        <w:t xml:space="preserve">Source: </w:t>
      </w:r>
      <w:r>
        <w:rPr>
          <w:sz w:val="20"/>
        </w:rPr>
        <w:t>https://hansard.parliament.uk/Lords/2025-04-30/debates/C168A66F-D4E0-4FA0-8E1C-6AC9A622F109/PropertyDigitalAssetsEtcBillHl</w:t>
      </w:r>
    </w:p>
    <w:p/>
    <w:p>
      <w:r>
        <w:rPr>
          <w:b/>
          <w:color w:val="1A4A6E"/>
          <w:sz w:val="22"/>
        </w:rPr>
        <w:t>Lord Holmes of Richmond</w:t>
      </w:r>
    </w:p>
    <w:p>
      <w:r>
        <w:rPr>
          <w:sz w:val="22"/>
        </w:rPr>
        <w:t>My Lords, in moving Amendment 1, in my name, I will speak to Amendments 2 and 3 in this group.</w:t>
      </w:r>
    </w:p>
    <w:p>
      <w:r>
        <w:rPr>
          <w:sz w:val="22"/>
        </w:rPr>
        <w:t>It is a pleasure to open Report of the Property (Digital Assets etc) Bill. In doing so, I declare my technology interests as set out in the register, not least as adviser to Ecospend and Members Capital Management. I take a brief moment to thank all of those who have got the Bill to this stage, including Professor Green and her team at the Law Commission, everyone who was involved with our Special Public Bill Committee—particularly the clerk, Matthew Burton, and all his staff—and all colleagues who have shown an interest in and engaged with the Bill.</w:t>
      </w:r>
    </w:p>
    <w:p>
      <w:r>
        <w:rPr>
          <w:sz w:val="22"/>
        </w:rPr>
        <w:t>There is an extraordinary opportunity when it comes to digital assets and delivering clarity, consistency and certainty around their property classification. By 2030, it is estimated that somewhere between 10% and 14% of GDP will come from digital assets. To put it another way, transactions in 2030 involving digital assets will range between £10 trillion and £24 trillion. That is a huge opportunity for the planet and for the UK, not least because of our excellence in financial services and in fintech—financial technology—but, crucially, because of the great good fortune of English common law.</w:t>
      </w:r>
    </w:p>
    <w:p>
      <w:r>
        <w:rPr>
          <w:sz w:val="22"/>
        </w:rPr>
        <w:t>What we see with the Bill is the leading-edge deployment of that great tradition in the most modern of contexts. To take just one example, if we get effective dematerialisation of the capital markets, that will save £20 billion year-on-year in reduced costs and speeded up transactions. Clarification of digital assets will not only help capital markets but will assist with financial inclusion and financial market infrastructure transformation, impacting positively on our economy and, through that, our society. We should note that the world is watching as we pass this Bill—following, as it does, a suite of Bills from the Law Commission, not least the recent Electronic Trade Documents Bill, now Act.</w:t>
      </w:r>
    </w:p>
    <w:p>
      <w:r>
        <w:rPr>
          <w:sz w:val="22"/>
        </w:rPr>
        <w:t>This is a very good Bill, which does a very simple task of enabling a third category of property: taking a “thing in possession” and a “thing in action” and enabling a potential third category to accommodate digital assets which do not neatly fit within either of those current property classes. It is a good Bill, and it has been through an excellent Committee and Special Public Bill Committee procedure, but I believe it is worthy of stress-test through these amendments this evening.</w:t>
      </w:r>
    </w:p>
    <w:p>
      <w:r>
        <w:rPr>
          <w:sz w:val="22"/>
        </w:rPr>
        <w:t>Amendments 1 and 2 go to the very heart of the Bill and propose that the presumption that digital assets cannot be fitted within the existing two categories of property be reversed. Consider something such as an NFT, a non-fungible token. To put it in simpler terms, it is largely a piece of electronic software on the hardware of a digital ledger. It has an existence beyond its legal form, but it is difficult to possess in the way you would possess, for example, a bag of gold. In that sense, the Bill is structured to enable this third category. The amendment seeks to stress-test that and reverse that presumption, as we have seen in some of the recent judgments in Australia and Singapore.</w:t>
      </w:r>
    </w:p>
    <w:p>
      <w:r>
        <w:rPr>
          <w:sz w:val="22"/>
        </w:rPr>
        <w:t>I am not suggesting that this amendment is the right amendment; it is merely put to stress-test how the Bill is set out. It seeks to stress-test the claim made by Professor Green, when she gave evidence to our Special Public Bill Committee, that this amendment would take the bite out of the Bill. If indeed it would take the bite out of the Bill, then it would not satisfy my three Cs test of what the Bill needs to achieve if we are to realise the opportunities and the economic benefits from digital assets. Those three tests are: clarity, certainty and consistency.</w:t>
      </w:r>
    </w:p>
    <w:p>
      <w:r>
        <w:rPr>
          <w:sz w:val="22"/>
        </w:rPr>
        <w:t>Amendment 3 seeks to assist with this by suggesting codes of practice that could be brought to bear to assist the courts when they come to consider issues around digital assets. With that, I beg to move Amendment 1.</w:t>
      </w:r>
    </w:p>
    <w:p/>
    <w:p>
      <w:r>
        <w:rPr>
          <w:b/>
          <w:color w:val="1A4A6E"/>
          <w:sz w:val="22"/>
        </w:rPr>
        <w:t>Lord Clement-Jones</w:t>
      </w:r>
    </w:p>
    <w:p>
      <w:r>
        <w:rPr>
          <w:sz w:val="22"/>
        </w:rPr>
        <w:t>My Lords, I am a great admirer of the noble Lord, Lord Holmes, and his passion for all things digital. But this is a good yet very modest Bill, and I not sure that we need stress-testing at this point in the proceedings. Through the Special Public Bill process that we have all been through over the last few months, we have kicked the tyres pretty hard already on this. We have taken evidence and had amendments in Committee, so I will be extremely brief and perhaps disappoint the noble Lord by not being in favour of any of his amendments.</w:t>
      </w:r>
    </w:p>
    <w:p/>
    <w:p>
      <w:r>
        <w:rPr>
          <w:b/>
          <w:color w:val="1A4A6E"/>
          <w:sz w:val="22"/>
        </w:rPr>
        <w:t>Lord Sandhurst</w:t>
      </w:r>
    </w:p>
    <w:p>
      <w:r>
        <w:rPr>
          <w:sz w:val="22"/>
        </w:rPr>
        <w:t>My Lords, traditionally, English common law has recognised two forms of property: tangible things in possession and intangible things in action, such as debts and shares. However, as we have heard, with the rise of digital assets such as crypto- currencies, tokens and non-fungible tokens we encounter items that do not fit neatly into either category. These assets are becoming essential in modern commerce, and it is vital that English law remain at the forefront of international trade, safeguarding London’s position as a legal and financial hub.</w:t>
      </w:r>
    </w:p>
    <w:p>
      <w:r>
        <w:rPr>
          <w:sz w:val="22"/>
        </w:rPr>
        <w:t>The Law Commission looked at this and proposed a third category of property to accommodate such digital innovations, allowing for legal evolution without imposing rigid definitions that might exclude future technologies. The commission emphasised that statutory intervention must not undermine the existing legal clarity or introduce unnecessary complications. The flexibility of English common law is a strength; it has already adapted to address key questions in the digital sphere. The current regime offers a balance of predictability and adaptability, making our jurisdiction well positioned to lead in this space.</w:t>
      </w:r>
    </w:p>
    <w:p>
      <w:r>
        <w:rPr>
          <w:sz w:val="22"/>
        </w:rPr>
        <w:t>The Bill the commission drafted, which is now before us, does just that. We have tested it thoroughly in Committee. I have listened carefully to the concerns raised by my noble friend Lord Holmes of Richmond, and while I recognise them, the Bill has been carefully drafted and it is not necessary to amend it—save for Amendment 6, which we will come to later.</w:t>
      </w:r>
    </w:p>
    <w:p>
      <w:r>
        <w:rPr>
          <w:sz w:val="22"/>
        </w:rPr>
        <w:t>Addressing Amendments 1 and 2 in a little more detail, it will be for the courts to develop the law on the treatment of this category or to widen existing categories—whichever way one wishes to look at it. The proposed wording of Amendment 1 goes too far. The Bill’s wording is elegant and encompasses digital assets, which are not easily categorised in the conventional classifications. It also encompasses other things not yet contemplated or in our imagination but which, when they do come into existence, will be thought by the courts to deserve rights. That is what the Bill is doing; it is expressly not limited by over-definition. It achieves protection for these as yet unimagined things, while making it clear that existing digital assets will be protected.</w:t>
      </w:r>
    </w:p>
    <w:p>
      <w:r>
        <w:rPr>
          <w:sz w:val="22"/>
        </w:rPr>
        <w:t>We would be bold to depart from the views of Professor Green, chair of the Law Commission report, who is very hostile to this sort of amendment. When asked about one such suggested amendment, she said:</w:t>
      </w:r>
    </w:p>
    <w:p>
      <w:r>
        <w:rPr>
          <w:sz w:val="22"/>
        </w:rPr>
        <w:t>“That would really take away the whole bite of the Bill … the whole mischief that it addresses is that we no longer have to be stuck with these categories”.</w:t>
      </w:r>
    </w:p>
    <w:p>
      <w:r>
        <w:rPr>
          <w:sz w:val="22"/>
        </w:rPr>
        <w:t>Therefore, we cannot support Amendments 1 and 2.</w:t>
      </w:r>
    </w:p>
    <w:p>
      <w:r>
        <w:rPr>
          <w:sz w:val="22"/>
        </w:rPr>
        <w:t>Turning to Amendment 3, on codes of practice, we follow the reasoning which I have outlined. Any code of practice risks definitions which do not accommodate a new type of activity or entity outside its scope, but which is worthy of protection. Equally, the code might suggest that property rights be given to an activity which, after the detailed investigation that a trial can give, a court rightly decides should not be so protected. It is best left to the courts, which will receive evidence, hear arguments from competing parties and be able to resolve those matters. The six-month period is too soon. If the Law Commission had thought this a good idea, it could have said so. It is contrary to the tenor of its lengthy report. If the Act would, in five years’ time or whenever, benefit from amendment, it should be done with the benefit of hindsight and experience. Meanwhile, such amendment is premature.</w:t>
      </w:r>
    </w:p>
    <w:p/>
    <w:p>
      <w:r>
        <w:rPr>
          <w:b/>
          <w:color w:val="1A4A6E"/>
          <w:sz w:val="22"/>
        </w:rPr>
        <w:t>The Parliamentary Under-Secretary of State, Ministry of Justice (Lab)</w:t>
      </w:r>
    </w:p>
    <w:p>
      <w:r>
        <w:rPr>
          <w:sz w:val="22"/>
        </w:rPr>
        <w:t>My Lords, I thank the noble Lord, Lord Holmes, for raising these issues. They get to the heart of the Bill: whether there is a need to recognise a further category in statute, and whether it is helpful to provide further guidance to the courts on the attributes to consider.</w:t>
      </w:r>
    </w:p>
    <w:p>
      <w:r>
        <w:rPr>
          <w:sz w:val="22"/>
        </w:rPr>
        <w:t>On the first of these points, the Government’s firm view is that the Bill’s current approach is the right one. Some stakeholders hold to the two-category view and say that there can be no further category beyond things in action and things in possession. This view is understandable but has its roots in history, including in an influential statement in a 19th-century case. That statement was made at a time when assets such as crypto tokens simply could not have been conceived of. The world has moved on, and the law needs to move on with it.</w:t>
      </w:r>
    </w:p>
    <w:p>
      <w:r>
        <w:rPr>
          <w:sz w:val="22"/>
        </w:rPr>
        <w:t>The Special Public Bill Committee heard from stakeholders who would prefer to see these emerging assets categorised as things in action, on the basis that their approach would give more legal certainty. However, the need for new solutions is the result of the unique features of these assets and not of their categorisation. For example, the existing rules on transfer of things in action, or on remedies for interference in things in action, are simply not adequate for assets such as crypto tokens. Either way, the law, through the courts, will have to respond to their new features.</w:t>
      </w:r>
    </w:p>
    <w:p>
      <w:r>
        <w:rPr>
          <w:sz w:val="22"/>
        </w:rPr>
        <w:t>The Bill is the result of a three-year project by the Law Commission during which all arguments, including the arguments in favour of this amendment, were considered in full. A strong majority of consultees to both consultations undertaken by the commission expressed a preference for a further category. Most respondents to the committee’s call for evidence also supported this approach. This approach came from a wide range of stakeholders—from legal professionals to industry bodies and academics.</w:t>
      </w:r>
    </w:p>
    <w:p>
      <w:r>
        <w:rPr>
          <w:sz w:val="22"/>
        </w:rPr>
        <w:t>Another advantage of the Bill’s approach is that it is technologically neutral. As the noble Lord, Lord Sandhurst, excellently put it in Committee, the Bill</w:t>
      </w:r>
    </w:p>
    <w:p>
      <w:r>
        <w:rPr>
          <w:sz w:val="22"/>
        </w:rPr>
        <w:t>“encompasses other things not yet contemplated or in our imagination ”.—[ Official Report , 3/2/25; col. 16.]</w:t>
      </w:r>
    </w:p>
    <w:p>
      <w:r>
        <w:rPr>
          <w:sz w:val="22"/>
        </w:rPr>
        <w:t>The Bill future-proofs our law in the way the other two categories do not. As Professor Green put it in her evidence, as quoted by the noble Lords, Lord Holmes, Lord Clement-Jones and Lord Sandhurst,</w:t>
      </w:r>
    </w:p>
    <w:p>
      <w:r>
        <w:rPr>
          <w:sz w:val="22"/>
        </w:rPr>
        <w:t>“the whole mischief that it addresses is that we no longer have to be stuck with these categories”.</w:t>
      </w:r>
    </w:p>
    <w:p>
      <w:r>
        <w:rPr>
          <w:sz w:val="22"/>
        </w:rPr>
        <w:t>By removing any uncertainty around a possible further category, we will give the courts the freedom to develop our common law. This approach allows them to consider and respond to the unique features of digital assets, and other assets that we cannot yet foresee.</w:t>
      </w:r>
    </w:p>
    <w:p>
      <w:r>
        <w:rPr>
          <w:sz w:val="22"/>
        </w:rPr>
        <w:t>This flexibility is also relevant to the question raised by Amendment 3: whether the Secretary of State should publish codes of practice about the attributes of digital things that confer personal property rights. The Government’s view is that requiring the publication of codes of practice could undermine the flexibility that the current drafting affords the courts. The Law Commission considered the features of assets that have characteristics of property but do not fit into the existing categories. However, City law firms, senior barristers, financial industry groups and crypto industry groups gave clear feedback that a more detailed statutory provision incorporating these features could be counter- productive.</w:t>
      </w:r>
    </w:p>
    <w:p>
      <w:r>
        <w:rPr>
          <w:sz w:val="22"/>
        </w:rPr>
        <w:t>The Government are concerned that the same issues could stem from publishing a code of practice. It could create unhelpful boundary challenges, lead to undue complexity, and prevent the common law being able to respond flexibly and dynamically to new technologies and unforeseen challenges. This feedback was reflected in some of the written evidence submitted to the Bill Committee.</w:t>
      </w:r>
    </w:p>
    <w:p>
      <w:r>
        <w:rPr>
          <w:sz w:val="22"/>
        </w:rPr>
        <w:t>As noble Lords will remember, the Bill Committee was firmly in favour of maintaining the Bill’s current approach. My noble friend Lord Stansgate got to the heart of the matter when he said:</w:t>
      </w:r>
    </w:p>
    <w:p>
      <w:r>
        <w:rPr>
          <w:sz w:val="22"/>
        </w:rPr>
        <w:t>“The whole point of the Bill is to set out something relatively simple, to take into account new technology and to enable judges to develop common law ”.—[ Official Report , 3/2/25; col. 19.]</w:t>
      </w:r>
    </w:p>
    <w:p>
      <w:r>
        <w:rPr>
          <w:sz w:val="22"/>
        </w:rPr>
        <w:t>As the noble Lord, Lord Sandhurst, so eloquently put it:</w:t>
      </w:r>
    </w:p>
    <w:p>
      <w:r>
        <w:rPr>
          <w:sz w:val="22"/>
        </w:rPr>
        <w:t>“The relative silence of the current Bill is golden ”.—[ Official Report , 3/2/25; col. 20.]</w:t>
      </w:r>
    </w:p>
    <w:p>
      <w:r>
        <w:rPr>
          <w:sz w:val="22"/>
        </w:rPr>
        <w:t>The Bill deliberately does not try to define the types of assets that may fall within its scope. Rather, it unblocks the common law and leaves it to the courts to develop the appropriate principles, building on centuries of world-renowned common-law development. By doing this, English and Welsh and Northern Ireland law can remain dynamic, globally competitive and a useful tool for those in the digital asset market. I ask the noble Lord to withdraw his amendment.</w:t>
      </w:r>
    </w:p>
    <w:p/>
    <w:p>
      <w:r>
        <w:rPr>
          <w:b/>
          <w:color w:val="1A4A6E"/>
          <w:sz w:val="22"/>
        </w:rPr>
        <w:t>Lord Holmes of Richmond</w:t>
      </w:r>
    </w:p>
    <w:p>
      <w:r>
        <w:rPr>
          <w:sz w:val="22"/>
        </w:rPr>
        <w:t>My Lords, I thank all noble Lords who participated in this short debate. I say particularly to my friend, the noble Lord, Lord Clement-Jones: disappointing? Never. The whole purpose of tabling these amendments has been set out eloquently through the debate and what I was seeking to achieve was to have those arguments on the Floor of your Lordships’ House. I am delighted that that is exactly what has occurred, so I am more than happy—not disappointed at all—to withdraw the amendment.</w:t>
      </w:r>
    </w:p>
    <w:p/>
    <w:p>
      <w:r>
        <w:rPr>
          <w:b/>
          <w:color w:val="1A4A6E"/>
          <w:sz w:val="22"/>
        </w:rPr>
        <w:t>Lord Holmes of Richmond</w:t>
      </w:r>
    </w:p>
    <w:p>
      <w:r>
        <w:rPr>
          <w:sz w:val="22"/>
        </w:rPr>
        <w:t>My Lords, in moving Amendment 4 I will speak also to Amendment 5 in my name. I will be very brief with these because I accept that they go some way beyond the central thrust of the Bill.</w:t>
      </w:r>
    </w:p>
    <w:p>
      <w:r>
        <w:rPr>
          <w:sz w:val="22"/>
        </w:rPr>
        <w:t>My main reason for bringing these amendments back on Report is to make the point, and have it on the record, about the impact of data centres and the fact that they are in many ways the foundries, the furnaces, that are fuelling this fourth industrial revolution, not least when it comes to digital assets but also, of course, when it comes to AI and other new technologies. So it is imperative to think on the implications of, I hope, a massively expanding digital assets ecosystem and economy in this country, and the underlying policy implications for many other government departments.</w:t>
      </w:r>
    </w:p>
    <w:p>
      <w:r>
        <w:rPr>
          <w:sz w:val="22"/>
        </w:rPr>
        <w:t>I also brought the amendment back because, having been told that data centres were not an issue to be brought in the Data (Use and Access) Bill, I thought, well, if not the Data (Use and Access) Bill, why not the Property (Digital Assets etc) Bill? They will continue to be an area of contention rather than consensus, of potential negativity rather than positivity, if all government departments relevant to the issue do not come together and decide what the UK’s data centre strategy is, not least in terms of the provision of that resource for digital assets. If the Government get that right, it should be a purely positive path, but looking at issues around PUE and the siting and fuelling of these data centres is critical.</w:t>
      </w:r>
    </w:p>
    <w:p>
      <w:r>
        <w:rPr>
          <w:sz w:val="22"/>
        </w:rPr>
        <w:t>In brief, Amendment 5 seeks to make it clear that no further regulations will be required in relation to digital assets, stablecoins and other tokenised forms as a consequence of the Bill passing. I beg to move.</w:t>
      </w:r>
    </w:p>
    <w:p/>
    <w:p>
      <w:r>
        <w:rPr>
          <w:b/>
          <w:color w:val="1A4A6E"/>
          <w:sz w:val="22"/>
        </w:rPr>
        <w:t>Viscount Stansgate</w:t>
      </w:r>
    </w:p>
    <w:p>
      <w:r>
        <w:rPr>
          <w:sz w:val="22"/>
        </w:rPr>
        <w:t>My Lords, rather like the noble Lord, Lord Clement-Jones, I am afraid I am also going to disappoint the noble Lord, Lord Holmes, because I do not think these amendments are necessary. But I agree with many of the things he said, especially about the evidence that we received. I had never been a Member of a Special Public Bill Committee before— I do not know how many of your Lordships in the Chamber tonight have been—but it is really a very interesting procedure. When I consider the length of the Bill compared with the height of the amount of evidence that we received both in writing and orally, I do not think I have ever seen such a strong proportion of that kind.</w:t>
      </w:r>
    </w:p>
    <w:p>
      <w:r>
        <w:rPr>
          <w:sz w:val="22"/>
        </w:rPr>
        <w:t>I want to say one thing about Amendment 4 and data centres. I agree that this is not really within the remit of the Bill. If it was not for the noble Lord tabling all these amendments, we would not have had a Report debate of any kind, so I thank him for that too. The House is beginning to understand, I think, that data centres use phenomenal quantities of electricity —it is staggering. I do not know how the future is going to unfold but when the noble Lord refers to them as the “foundries” of the 21st-century economy, I think he makes a very good point.</w:t>
      </w:r>
    </w:p>
    <w:p>
      <w:r>
        <w:rPr>
          <w:sz w:val="22"/>
        </w:rPr>
        <w:t>I am a member of the UK Engagement with Space Committee of your Lordships’ House and one of the many interesting things that is beginning to emerge there is that in the future data centres may be placed in space—where, incidentally, it is easier to keep them cool—and then you would send the data to and from. I agree that this goes much more widely than the debate on the Bill.</w:t>
      </w:r>
    </w:p>
    <w:p>
      <w:r>
        <w:rPr>
          <w:sz w:val="22"/>
        </w:rPr>
        <w:t>I conclude by saying that when the noble Lord says the world is watching, I agree with that too, because the Bill will allow common law to develop in the way that common law has done for decades. It will also entrench the central position of London as a jurisdiction for the arbitration of disputes and arguments about digital assets, and I think and hope that London will continue to do that. Therefore, there is that element to the Bill, which I strongly support, although I am in favour of the noble Lord withdrawing his amendment.</w:t>
      </w:r>
    </w:p>
    <w:p/>
    <w:p>
      <w:r>
        <w:rPr>
          <w:b/>
          <w:color w:val="1A4A6E"/>
          <w:sz w:val="22"/>
        </w:rPr>
        <w:t>Lord Clement-Jones</w:t>
      </w:r>
    </w:p>
    <w:p>
      <w:r>
        <w:rPr>
          <w:sz w:val="22"/>
        </w:rPr>
        <w:t>My Lords, I can be extremely brief because I agree with much of what the noble Viscount, Lord Stansgate, has had to say. The noble Lord, Lord Holmes, is nothing if not consistent. We had data centres brought up in the Data (Use and Access) Bill and in this Bill, and I am sure he will ruthlessly bring up data centres on every possible occasion. Of course, the Government need a data centre strategy but the primary purpose of this Bill is very specific: to resolve the Colonial Bank v Whinney issue that the Law Commission wished to do. That is what we should be focused on today.</w:t>
      </w:r>
    </w:p>
    <w:p>
      <w:r>
        <w:rPr>
          <w:sz w:val="22"/>
        </w:rPr>
        <w:t>The Bill does not make digital assets property. It removes a legal barrier to their recognition as such by confirming that the traditional twofold classification is not exhaustive. That is all the Bill does, so I think that requiring a comprehensive economic impact assessment does not flow directly from this very narrow but useful Bill. I feel the same way about Amendment 5, which proposes a review within six months. Again, that goes way too far. Framing the review as being triggered</w:t>
      </w:r>
    </w:p>
    <w:p>
      <w:r>
        <w:rPr>
          <w:sz w:val="22"/>
        </w:rPr>
        <w:t>“due to any such digital assets being treated as property by virtue of this Act”</w:t>
      </w:r>
    </w:p>
    <w:p>
      <w:r>
        <w:rPr>
          <w:sz w:val="22"/>
        </w:rPr>
        <w:t>suggests that the Bill creates the property status, which is misleading.</w:t>
      </w:r>
    </w:p>
    <w:p>
      <w:r>
        <w:rPr>
          <w:sz w:val="22"/>
        </w:rPr>
        <w:t>I think the noble Lord, Lord Holmes, already knows all the arguments against his amendments so I shall carry on no further.</w:t>
      </w:r>
    </w:p>
    <w:p/>
    <w:p>
      <w:r>
        <w:rPr>
          <w:b/>
          <w:color w:val="1A4A6E"/>
          <w:sz w:val="22"/>
        </w:rPr>
        <w:t>Lord Sandhurst</w:t>
      </w:r>
    </w:p>
    <w:p>
      <w:r>
        <w:rPr>
          <w:sz w:val="22"/>
        </w:rPr>
        <w:t>My Lords, an impact assessment is not practicable, whether in six months’ or three months’ time, we respectfully suggest. It would be premised on too many uncertainties. What we know is that the Bill will do no harm and is likely to do good. We have, if you like, the theoretical impact assessment of the Law Commission, which looked at all the issues in great detail. So, I suggest that we do not need this amendment, and we would not support it.</w:t>
      </w:r>
    </w:p>
    <w:p>
      <w:r>
        <w:rPr>
          <w:sz w:val="22"/>
        </w:rPr>
        <w:t>As to Amendment 5, six months’ time is, again, with respect, too short. I would suggest in parentheses that a review in five years’ time to see whether it is useful, whether it needs further amendment, how it is operating and what the effect is on the London market and litigation in London, could well be of value. Whether it needs a formal assessment or not is something that can be looked at four years down the road, but this is early days. We simply do not know enough. With respect to my noble friend, a review in a few months’ time will not help us at all. We do not support the amendment.</w:t>
      </w:r>
    </w:p>
    <w:p/>
    <w:p>
      <w:r>
        <w:rPr>
          <w:b/>
          <w:color w:val="1A4A6E"/>
          <w:sz w:val="22"/>
        </w:rPr>
        <w:t>Lord Ponsonby of Shulbrede</w:t>
      </w:r>
    </w:p>
    <w:p>
      <w:r>
        <w:rPr>
          <w:sz w:val="22"/>
        </w:rPr>
        <w:t>My Lords, at the outset, I acknowledge the long-standing advocacy for technological innovation of the noble Lord, Lord Holmes. I also pay tribute to his deep commitment to ensuring that our regulatory framework is fit for purpose in an increasingly digital world.</w:t>
      </w:r>
    </w:p>
    <w:p>
      <w:r>
        <w:rPr>
          <w:sz w:val="22"/>
        </w:rPr>
        <w:t>These amendments would mandate reviews of the impact of digital assets being treated as property by virtue of the Bill’s provisions. One amendment requires the Government to publish an economic impact assessment of the Bill on the day the Act is passed. As noble Lords will know, the Government published an impact assessment when introducing the Bill. I hope it will assist and reassure noble Lords if I highlight some of the most salient points.</w:t>
      </w:r>
    </w:p>
    <w:p>
      <w:r>
        <w:rPr>
          <w:sz w:val="22"/>
        </w:rPr>
        <w:t>As the impact assessment sets out, the Bill is expected to bring clarity to personal property law, reduce uncertainty for businesses and ensure England, Wales and Northern Ireland remain leading locations in which to innovate. Due to limited data, it is very hard, if not impossible, to quantify these benefits. However, we think the Bill will help ensure our laws remain competitive on an international stage.</w:t>
      </w:r>
    </w:p>
    <w:p>
      <w:r>
        <w:rPr>
          <w:sz w:val="22"/>
        </w:rPr>
        <w:t>The impact assessment considered the potential for the Bill to encourage the use of digital assets. However, this impact is highly debateable, given the Bill merely confirms the position that has been gradually emerging through case law in recent years. It is not expected or intended that the Bill will cause a significant increase in uptake of digital assets.</w:t>
      </w:r>
    </w:p>
    <w:p>
      <w:r>
        <w:rPr>
          <w:sz w:val="22"/>
        </w:rPr>
        <w:t>The same amendment calls for the impact assessment to cover the estimated change in demand for, and use of, digital assets. The assessment would also have to cover data centre power usage, the current level of data centre power provision and its ability to meet any increase in demand for digital assets. This follows on from the points the noble Lord, Lord Holmes, made in Committee. He mentioned that he would like to hear that the Government are committed to data centres being fuelled through renewable energy and a discussion around where data centres would be located, given the value they can bring to the country. Although these are important points, they sit outside the remit of the Bill.</w:t>
      </w:r>
    </w:p>
    <w:p>
      <w:r>
        <w:rPr>
          <w:sz w:val="22"/>
        </w:rPr>
        <w:t>I say to my noble friend Lord Stansgate that whether a data centre is in space or not is also outside the relevant part of the Bill.</w:t>
      </w:r>
    </w:p>
    <w:p>
      <w:r>
        <w:rPr>
          <w:sz w:val="22"/>
        </w:rPr>
        <w:t>Furthermore, it would likely be impossible to accurately estimate the long-term effect of the Bill on data centres. There are many greater influences on these areas, such as cloud computing, AI and general data storage. This will make it extremely difficult to assess the impact of the Bill. Therefore, such a review could result in speculative or misleading conclusions.</w:t>
      </w:r>
    </w:p>
    <w:p>
      <w:r>
        <w:rPr>
          <w:sz w:val="22"/>
        </w:rPr>
        <w:t>The other amendment calls for reviewing the</w:t>
      </w:r>
    </w:p>
    <w:p>
      <w:r>
        <w:rPr>
          <w:sz w:val="22"/>
        </w:rPr>
        <w:t>“need for further regulation of stablecoins and tokenised deposits”</w:t>
      </w:r>
    </w:p>
    <w:p>
      <w:r>
        <w:rPr>
          <w:sz w:val="22"/>
        </w:rPr>
        <w:t>within six months of the Act passing. Here, I reiterate that the Bill does not specify how the courts will treat these particular digital assets. If they were considered personal property under the Bill, this would not affect the need—or not—for regulation. The Bill deals only with a discrete matter of private law. Therefore, the proposed review is unlikely to yield any meaningful conclusions.</w:t>
      </w:r>
    </w:p>
    <w:p>
      <w:r>
        <w:rPr>
          <w:sz w:val="22"/>
        </w:rPr>
        <w:t>Moreover, issues around regulating stablecoins and tokenised deposits are already being addressed. The Government’s forthcoming financial services regulatory regime of crypto assets will include a new regulated activity for stablecoin issuance in the UK. Overseas-issued stablecoin will be regulated in the UK in line with other crypto assets. This will ensure that the Financial Conduct Authority can properly manage stablecoin-specific risks.</w:t>
      </w:r>
    </w:p>
    <w:p>
      <w:r>
        <w:rPr>
          <w:sz w:val="22"/>
        </w:rPr>
        <w:t>In addition, the Prudential Regulation Authority has published its views on the risks associated with tokenised deposits and how it expects banks to address those risks. Where tokenisation does not change the underlying economics and fundamental nature of a depositor’s claim, the PRA’s prudential regulatory framework will treat a tokenised deposit similarly to a traditional deposit. Where banks intend to take tokenised deposits from retail customers, the PRA expects this to be done in a way that meets the PRA’s rules for eligibility for depositor protection under the Financial Services Compensation Scheme.</w:t>
      </w:r>
    </w:p>
    <w:p>
      <w:r>
        <w:rPr>
          <w:sz w:val="22"/>
        </w:rPr>
        <w:t>The Bill takes a minimalist approach to achieve the specific aim of unblocking the common law on personal property. While I am very pleased that I have had the opportunity to debate these amendments, the Government fear that they could cause unnecessary bureaucracy and regulatory duplication, which could increase uncertainty rather than alleviate it.</w:t>
      </w:r>
    </w:p>
    <w:p>
      <w:r>
        <w:rPr>
          <w:sz w:val="22"/>
        </w:rPr>
        <w:t>As set out already, we think there are significant benefits of the Bill, such as bringing clarity to English, Welsh and Northern Irish law and keeping it world leading. We will, of course, monitor those benefits closely in the future. Given that, I ask the noble Lord to withdraw his amendment.</w:t>
      </w:r>
    </w:p>
    <w:p/>
    <w:p>
      <w:r>
        <w:rPr>
          <w:b/>
          <w:color w:val="1A4A6E"/>
          <w:sz w:val="22"/>
        </w:rPr>
        <w:t>Lord Holmes of Richmond</w:t>
      </w:r>
    </w:p>
    <w:p>
      <w:r>
        <w:rPr>
          <w:sz w:val="22"/>
        </w:rPr>
        <w:t>My Lords, I thank all noble Lords who have contributed to this brief debate and say, again, “Job done: mission accomplished”, on the record, I beg leave to withdraw the amendment.</w:t>
      </w:r>
    </w:p>
    <w:p/>
    <w:p>
      <w:r>
        <w:rPr>
          <w:b/>
          <w:color w:val="1A4A6E"/>
          <w:sz w:val="22"/>
        </w:rPr>
        <w:t>Lord Holmes of Richmond</w:t>
      </w:r>
    </w:p>
    <w:p>
      <w:r>
        <w:rPr>
          <w:sz w:val="22"/>
        </w:rPr>
        <w:t>My Lords, in moving my Amendment 6, I thank the noble Lord, Lord Anderson of Ipswich, and, indeed, the Minister, for adding their names to it. I also take the opportunity again to thank the noble Lord, Lord Anderson of Ipswich, for the excellent job he did in chairing, steering and keeping us focused through our Special Public Bill Committee procedure.</w:t>
      </w:r>
    </w:p>
    <w:p>
      <w:r>
        <w:rPr>
          <w:sz w:val="22"/>
        </w:rPr>
        <w:t>Amendment 6 is incredibly simple and straightforward: it takes the Long Title of the Bill and makes a change so that it fits perfectly with the operative clause within the Bill. As noble Lords will be aware, the Long Title has no operative impact. So, why go to the trouble of making the change? Firstly, for issues of clarity, consistency and certainty—to tidy up the Bill at this stage. But, far more importantly than that, because, as mentioned in earlier groups, the world is watching when we pass this legislation, and the signal that the Bill sends out is critically important. That signal—the signposting—means that, if anyone, anywhere on the planet, merely reads only the Long Title, they will get from that the purpose of the Bill, what it is all about and how it is going about it. It is a simple, straightforward amendment, which I am delighted the Minister has put his name to.</w:t>
      </w:r>
    </w:p>
    <w:p>
      <w:r>
        <w:rPr>
          <w:sz w:val="22"/>
        </w:rPr>
        <w:t>Lastly, as these are almost the last words I will say on the Bill, I will say just two things. We hear very often in these parts about a black hole measured in various billions. What about the opportunities enabled through the Bill for a goldmine? A digital, virtual, intangible goldmine, yes, but a potential digital assets goldmine measured in the trillions. The Property (Digital Assets etc) Bill is future facing, future-proofing, growth enabling ground-breaking and good for innovation, investment, citizen, consumer and the country. I beg to move.</w:t>
      </w:r>
    </w:p>
    <w:p/>
    <w:p>
      <w:r>
        <w:rPr>
          <w:b/>
          <w:color w:val="1A4A6E"/>
          <w:sz w:val="22"/>
        </w:rPr>
        <w:t>Viscount Stansgate</w:t>
      </w:r>
    </w:p>
    <w:p>
      <w:r>
        <w:rPr>
          <w:sz w:val="22"/>
        </w:rPr>
        <w:t>My Lords, it is a pleasure to follow the noble Lord, Lord Holmes, and agree with his amendment. My only regret is that I did not sign it, because you can have four names on an amendment and, if I had another life, I would have immediately put my name to it. I echo his comments about the noble Lord, Lord Anderson of Ipswich, who was a wonderful chair of this Special Public Bill Committee. I may never sit on another such committee—who knows?—but it was an enjoyable and interesting experience. To match up the Long Title with what is called the operative clause in the Bill is a good and sensible thing. Apart from anything else, the Bill replaces an obscure late-19th century judgment of which I confess I had never heard before I went into the committee, but it is a Bill for the future and, with that, I wish it well.</w:t>
      </w:r>
    </w:p>
    <w:p/>
    <w:p>
      <w:r>
        <w:rPr>
          <w:b/>
          <w:color w:val="1A4A6E"/>
          <w:sz w:val="22"/>
        </w:rPr>
        <w:t>Lord Clement-Jones</w:t>
      </w:r>
    </w:p>
    <w:p>
      <w:r>
        <w:rPr>
          <w:sz w:val="22"/>
        </w:rPr>
        <w:t>My Lords, I, too, add to our congratulations to the noble Lord, Lord Anderson, who was a very good chair. It was a very harmonious committee, as these Law Commission Committees tend to be. I am delighted to support the noble Lord, Lord Holmes, for a change, but it is very lucky we did not pass Amendment 1, that is all I can say.</w:t>
      </w:r>
    </w:p>
    <w:p/>
    <w:p>
      <w:r>
        <w:rPr>
          <w:b/>
          <w:color w:val="1A4A6E"/>
          <w:sz w:val="22"/>
        </w:rPr>
        <w:t>Lord Sandhurst</w:t>
      </w:r>
    </w:p>
    <w:p>
      <w:r>
        <w:rPr>
          <w:sz w:val="22"/>
        </w:rPr>
        <w:t>My Lords, we support this amendment, for the reasons advanced by my noble friend Lord Holmes. I, too, add my thanks to the noble Lord, Lord Anderson of Ipswich, for all the hard work which he put in and to our excellent clerk, Matthew Burton. It is a pleasure now to see this Bill reach a happy conclusion, I hope.</w:t>
      </w:r>
    </w:p>
    <w:p/>
    <w:p>
      <w:r>
        <w:rPr>
          <w:b/>
          <w:color w:val="1A4A6E"/>
          <w:sz w:val="22"/>
        </w:rPr>
        <w:t>Lord Ponsonby of Shulbrede</w:t>
      </w:r>
    </w:p>
    <w:p>
      <w:r>
        <w:rPr>
          <w:sz w:val="22"/>
        </w:rPr>
        <w:t>My Lords, this amendment seeks to restate the Long Title of the Bill, and I have put my name to it as the noble Lord, Lord Holmes, said. The amendment was tabled by the noble Lord but was suggested by Adam Temple, a senior barrister who specialises in financial services, when he gave evidence. This amendment addresses a slight discrepancy between the wording in the Long Title and the Bill’s operative clause. This discrepancy in wording came about following the Law Commission consultation on the draft Bill, which led to Clause 1 being amended to address concerns that it could be read as providing that any thing was capable of being personal property. That is not the intended effect of the Bill. Therefore, the wording changed from saying that a thing may be capable of being an object of property rights to instead saying that a thing is not prevented from being the object of personal property rights merely because it does not fit into the traditional categories of things in possession or things in action.</w:t>
      </w:r>
    </w:p>
    <w:p>
      <w:r>
        <w:rPr>
          <w:sz w:val="22"/>
        </w:rPr>
        <w:t>At the time of drafting, the Law Commission did not feel it was necessary to make a corresponding change to the Long Title. However, several noble Lords raised concerns about this discrepancy during our Committee debate and asked the Government to consider it further. Having reflected carefully, we are satisfied that making this change will not have any substantive effect. We are therefore content to accept this amendment so that the Long Title is consistent with the operative clause of the Bill. I end by thanking the noble Lord for his constructive discussions on this point. As for thanking noble Lords, I will leave that to the last stage of the Bill.</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