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Project Spire</w:t>
      </w:r>
    </w:p>
    <w:p>
      <w:r>
        <w:rPr>
          <w:sz w:val="20"/>
        </w:rPr>
        <w:t>3 September 2026  ·  Commons  ·  Oral Questions</w:t>
      </w:r>
    </w:p>
    <w:p>
      <w:r>
        <w:rPr>
          <w:b/>
        </w:rPr>
        <w:t xml:space="preserve">Policy areas: </w:t>
      </w:r>
      <w:r>
        <w:rPr>
          <w:sz w:val="20"/>
        </w:rPr>
        <w:t>Finance and taxation, Government and public administration, Society and culture</w:t>
      </w:r>
    </w:p>
    <w:p>
      <w:r>
        <w:rPr>
          <w:b/>
        </w:rPr>
        <w:t xml:space="preserve">Topics: </w:t>
      </w:r>
      <w:r>
        <w:rPr>
          <w:sz w:val="20"/>
        </w:rPr>
        <w:t>african chattel enslavement, church buildings, church of england funding, historical reparations</w:t>
      </w:r>
    </w:p>
    <w:p>
      <w:r>
        <w:rPr>
          <w:b/>
        </w:rPr>
        <w:t xml:space="preserve">Source: </w:t>
      </w:r>
      <w:r>
        <w:rPr>
          <w:sz w:val="20"/>
        </w:rPr>
        <w:t>https://hansard.parliament.uk/Commons/2026-09-03/debates/E367569C-A049-4CE6-9295-33F474B61875/ProjectSpire</w:t>
      </w:r>
    </w:p>
    <w:p/>
    <w:p>
      <w:r>
        <w:rPr>
          <w:b/>
          <w:color w:val="1A4A6E"/>
          <w:sz w:val="22"/>
        </w:rPr>
        <w:t>Blake Stephenson (Con)</w:t>
      </w:r>
    </w:p>
    <w:p>
      <w:r>
        <w:rPr>
          <w:sz w:val="22"/>
        </w:rPr>
        <w:t>10. Whether the Church of England plans to proceed with Project Spire.</w:t>
      </w:r>
    </w:p>
    <w:p/>
    <w:p>
      <w:r>
        <w:rPr>
          <w:b/>
          <w:color w:val="1A4A6E"/>
          <w:sz w:val="22"/>
        </w:rPr>
        <w:t>Marsha De Cordova</w:t>
      </w:r>
    </w:p>
    <w:p>
      <w:r>
        <w:rPr>
          <w:sz w:val="22"/>
        </w:rPr>
        <w:t>Yes, the Church Commissioners intend to proceed with Project Spire, as we continue to regard the historic links to African chattel enslavement with profound regret.</w:t>
      </w:r>
    </w:p>
    <w:p/>
    <w:p>
      <w:r>
        <w:rPr>
          <w:b/>
          <w:color w:val="1A4A6E"/>
          <w:sz w:val="22"/>
        </w:rPr>
        <w:t>Blake Stephenson</w:t>
      </w:r>
    </w:p>
    <w:p>
      <w:r>
        <w:rPr>
          <w:sz w:val="22"/>
        </w:rPr>
        <w:t>Around the country, particularly in Mid Bedfordshire, parish churches are struggling to find the funds to save their historic buildings. Do the Church Commissioners not believe that the time, money and energy spent examining and absolving the Church’s historic transgressions could have been better spent bringing hope and belonging to future generations and saving our historic churches?</w:t>
      </w:r>
    </w:p>
    <w:p/>
    <w:p>
      <w:r>
        <w:rPr>
          <w:b/>
          <w:color w:val="1A4A6E"/>
          <w:sz w:val="22"/>
        </w:rPr>
        <w:t>Marsha De Cordova</w:t>
      </w:r>
    </w:p>
    <w:p>
      <w:r>
        <w:rPr>
          <w:sz w:val="22"/>
        </w:rPr>
        <w:t>I want to take this opportunity to make it clear that Project Spire is being funded out of the commissioners’ own income. None of the money given in parish collections goes towards funding the project. It is also worth pointing out that, over the next three years, the commissioners are distributing £1.6 billion to provide record levels of support for Church ministry and mission across England. It is my sincere hope that Project Spire delivers exactly what the hon. Member points to: a sense of belonging in the Church for future generations. I also highlight the words shared by the Archbishop of Canterbury in her historic visit to the Cape Coast Castle in Ghana, which I too have visited. She said:</w:t>
      </w:r>
    </w:p>
    <w:p>
      <w:r>
        <w:rPr>
          <w:sz w:val="22"/>
        </w:rPr>
        <w:t>“I pray not only in lament for the Church’s involvement in the slave trade, but also for hope—hope that the God of healing can bring justice and reconciliation to all who are still impacted by its legacy.”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