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https://hansard.parliament.uk/Lords/2026-09-03/debates/36E2265F-1176-4EED-84B5-FA98E52A9C16/ArrangementOfBusiness</w:t>
      </w:r>
    </w:p>
    <w:p/>
    <w:p>
      <w:r>
        <w:rPr>
          <w:b/>
          <w:color w:val="1A4A6E"/>
          <w:sz w:val="22"/>
        </w:rPr>
        <w:t>Lord in Waiting/Government Whip (Lab)</w:t>
      </w:r>
    </w:p>
    <w:p>
      <w:r>
        <w:rPr>
          <w:sz w:val="22"/>
        </w:rPr>
        <w:t>My Lords, before we consider the next Motion, I remind Members that, as set out in today’s list, speeches in the debate should be limited to three minutes, with the exception of those of the mover and the Minister. I am sure I speak on behalf of Members across the House when I say that I would be grateful if they would stick to this advisory speaking time to ensure that the Minister has adequate time to respond to the points raised.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