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Trans People</w:t>
      </w:r>
    </w:p>
    <w:p>
      <w:r>
        <w:rPr>
          <w:sz w:val="20"/>
        </w:rPr>
        <w:t>3 September 2025  ·  Commons  ·  Oral Questions</w:t>
      </w:r>
    </w:p>
    <w:p>
      <w:r>
        <w:rPr>
          <w:b/>
        </w:rPr>
        <w:t xml:space="preserve">Policy areas: </w:t>
      </w:r>
      <w:r>
        <w:rPr>
          <w:sz w:val="20"/>
        </w:rPr>
        <w:t>Crime, justice and law, Government and public administration, Health and social care, Society and culture</w:t>
      </w:r>
    </w:p>
    <w:p>
      <w:r>
        <w:rPr>
          <w:b/>
        </w:rPr>
        <w:t xml:space="preserve">Topics: </w:t>
      </w:r>
      <w:r>
        <w:rPr>
          <w:sz w:val="20"/>
        </w:rPr>
        <w:t>equality act 2010, single-sex spaces, support for trans people, supreme court judgment, trans-inclusive ban conversion practices</w:t>
      </w:r>
    </w:p>
    <w:p>
      <w:r>
        <w:rPr>
          <w:b/>
        </w:rPr>
        <w:t xml:space="preserve">Source: </w:t>
      </w:r>
      <w:r>
        <w:rPr>
          <w:sz w:val="20"/>
        </w:rPr>
        <w:t>https://hansard.parliament.uk/Commons/2025-09-03/debates/5DB3D139-40F1-4D5D-90EA-DF7D63224900/SupportForTransPeople</w:t>
      </w:r>
    </w:p>
    <w:p/>
    <w:p>
      <w:r>
        <w:rPr>
          <w:b/>
          <w:color w:val="1A4A6E"/>
          <w:sz w:val="22"/>
        </w:rPr>
        <w:t>Ian Sollom (LD)</w:t>
      </w:r>
    </w:p>
    <w:p>
      <w:r>
        <w:rPr>
          <w:sz w:val="22"/>
        </w:rPr>
        <w:t>2. What steps she is taking to support trans people in the context of the Supreme Court judgment in the case of For Women Scotland v . Scottish Ministers of 16 April 2025.</w:t>
      </w:r>
    </w:p>
    <w:p/>
    <w:p>
      <w:r>
        <w:rPr>
          <w:b/>
          <w:color w:val="1A4A6E"/>
          <w:sz w:val="22"/>
        </w:rPr>
        <w:t>Bridget Phillipson (The Minister for Women and Equalities)</w:t>
      </w:r>
    </w:p>
    <w:p>
      <w:r>
        <w:rPr>
          <w:sz w:val="22"/>
        </w:rPr>
        <w:t>Trans people deserve dignity and respect. The Government are upholding the legal protections that Labour’s Equality Act 2010 put in place, ensuring that trans people can live free from discrimination and harassment. Work is already under way to fulfil our manifesto commitments, including the delivery of a full trans-inclusive ban on conversion practices, the equalisation of all strands of hate crime, and a review of health services to ensure that trans people receive appropriate and high-quality care.</w:t>
      </w:r>
    </w:p>
    <w:p/>
    <w:p>
      <w:r>
        <w:rPr>
          <w:b/>
          <w:color w:val="1A4A6E"/>
          <w:sz w:val="22"/>
        </w:rPr>
        <w:t>Ian Sollom</w:t>
      </w:r>
    </w:p>
    <w:p>
      <w:r>
        <w:rPr>
          <w:sz w:val="22"/>
        </w:rPr>
        <w:t>The Minister will be aware that many trans people with gender recognition certificates followed all the legal processes in good faith, often over many years, and made legally binding commitments to live in their acquired gender for life. Yet now that they find themselves legally bound to live in one gender, they are at the same time being denied access to services and facilities aligned with that gender. How does the Minister plan to resolve those contradictory legal obligations, and what will she do to provide immediate support to the trans community?</w:t>
      </w:r>
    </w:p>
    <w:p/>
    <w:p>
      <w:r>
        <w:rPr>
          <w:b/>
          <w:color w:val="1A4A6E"/>
          <w:sz w:val="22"/>
        </w:rPr>
        <w:t>Bridget Phillipson</w:t>
      </w:r>
    </w:p>
    <w:p>
      <w:r>
        <w:rPr>
          <w:sz w:val="22"/>
        </w:rPr>
        <w:t>I recognise the importance of gender recognition certificates. Let me be absolutely clear to this House, as I have been on many occasions: no one, including trans people, should suffer indignity or a lack of respect. They must of course have access to safe provisions and appropriate services. However, the Supreme Court ruling was clear that biological sex is the means by which single-sex provision will be delivered.</w:t>
      </w:r>
    </w:p>
    <w:p/>
    <w:p>
      <w:r>
        <w:rPr>
          <w:b/>
          <w:color w:val="1A4A6E"/>
          <w:sz w:val="22"/>
        </w:rPr>
        <w:t>Catherine Fookes (Lab)</w:t>
      </w:r>
    </w:p>
    <w:p>
      <w:r>
        <w:rPr>
          <w:sz w:val="22"/>
        </w:rPr>
        <w:t>I am really pleased that the Government are committed to delivering a full trans-inclusive ban on conversion therapy. When will that legislation be introduced to bring that abusive practice to an end?</w:t>
      </w:r>
    </w:p>
    <w:p/>
    <w:p>
      <w:r>
        <w:rPr>
          <w:b/>
          <w:color w:val="1A4A6E"/>
          <w:sz w:val="22"/>
        </w:rPr>
        <w:t>Bridget Phillipson</w:t>
      </w:r>
    </w:p>
    <w:p>
      <w:r>
        <w:rPr>
          <w:sz w:val="22"/>
        </w:rPr>
        <w:t>We are committed to bringing forward a draft Bill to ensure that we deliver on our manifesto commitment to a full trans-inclusive ban on conversion practices, which are abhorrent and have no place in our society.</w:t>
      </w:r>
    </w:p>
    <w:p/>
    <w:p>
      <w:r>
        <w:rPr>
          <w:b/>
          <w:color w:val="1A4A6E"/>
          <w:sz w:val="22"/>
        </w:rPr>
        <w:t>Speaker</w:t>
      </w:r>
    </w:p>
    <w:p>
      <w:r>
        <w:rPr>
          <w:sz w:val="22"/>
        </w:rPr>
        <w:t>I call the shadow Minister.</w:t>
      </w:r>
    </w:p>
    <w:p/>
    <w:p>
      <w:r>
        <w:rPr>
          <w:b/>
          <w:color w:val="1A4A6E"/>
          <w:sz w:val="22"/>
        </w:rPr>
        <w:t>Rebecca Paul (Con)</w:t>
      </w:r>
    </w:p>
    <w:p>
      <w:r>
        <w:rPr>
          <w:sz w:val="22"/>
        </w:rPr>
        <w:t>The Equality and Human Rights Commission has confirmed that at least 19 public bodies, including organisations across the policing, education and health sectors, are misrepresenting the law on single-sex spaces. That is a breach of the Equality Act 2010, as confirmed by the recent Supreme Court ruling. Has the Minister been told which bodies they are, and how can women and girls have any confidence in them if they are knowingly and deliberately breaking the law?</w:t>
      </w:r>
    </w:p>
    <w:p/>
    <w:p>
      <w:r>
        <w:rPr>
          <w:b/>
          <w:color w:val="1A4A6E"/>
          <w:sz w:val="22"/>
        </w:rPr>
        <w:t>Bridget Phillipson</w:t>
      </w:r>
    </w:p>
    <w:p>
      <w:r>
        <w:rPr>
          <w:sz w:val="22"/>
        </w:rPr>
        <w:t>The results of the previous Government’s call for input showed that, although the law was being followed in the majority of cases, a small number of examples were identified that seemed to have misinterpreted how the single-sex exemptions of the Equality Act operate. As the hon. Lady will appreciate, it is for the independent regulator, the Equality and Human Rights Commission, to follow up on these issues through the appropriate processes. It is doing so in more detail and will work with organisations to put that right.</w:t>
      </w:r>
    </w:p>
    <w:p/>
    <w:p>
      <w:r>
        <w:rPr>
          <w:b/>
          <w:color w:val="1A4A6E"/>
          <w:sz w:val="22"/>
        </w:rPr>
        <w:t>Speaker</w:t>
      </w:r>
    </w:p>
    <w:p>
      <w:r>
        <w:rPr>
          <w:sz w:val="22"/>
        </w:rPr>
        <w:t>I call the Liberal Democrat spokesperson.</w:t>
      </w:r>
    </w:p>
    <w:p/>
    <w:p>
      <w:r>
        <w:rPr>
          <w:b/>
          <w:color w:val="1A4A6E"/>
          <w:sz w:val="22"/>
        </w:rPr>
        <w:t>Lisa Smart (LD)</w:t>
      </w:r>
    </w:p>
    <w:p>
      <w:r>
        <w:rPr>
          <w:sz w:val="22"/>
        </w:rPr>
        <w:t>My constituent Charlie is from Offerton. He has a gender recognition certificate that states that he is male; he has a birth certificate that states that he is male; and he has a resplendent ginger beard. The interim EHRC guidance, however, states that he should use the ladies’ loo. That is clearly crackers, and Charlie tells me that he has had stick in the past when using the ladies.</w:t>
      </w:r>
    </w:p>
    <w:p>
      <w:r>
        <w:rPr>
          <w:sz w:val="22"/>
        </w:rPr>
        <w:t>It is in the interest of the whole of society for trans people to be able to leave the house and for there to be a loo that they can use in peace when they do so, while they contribute fully to our society. Does the Secretary of State agree that when the final guidance is published, which we expect soon, parliamentary scrutiny would be a good thing to ensure that the guidance is as good as it can possibly be, so that trans people can live their lives to the full with the clarity and security that they need?</w:t>
      </w:r>
    </w:p>
    <w:p/>
    <w:p>
      <w:r>
        <w:rPr>
          <w:b/>
          <w:color w:val="1A4A6E"/>
          <w:sz w:val="22"/>
        </w:rPr>
        <w:t>Bridget Phillipson</w:t>
      </w:r>
    </w:p>
    <w:p>
      <w:r>
        <w:rPr>
          <w:sz w:val="22"/>
        </w:rPr>
        <w:t>I agree that trans people and women deserve appropriate access to safe spaces and the right level of accommodation and that we must ensure that provision is there, so that no one feels that their safety is at risk. To be clear to the House, the Government did not receive advance sight or notice of the interim update from the EHRC. The EHRC has now consulted on its proposed changes to the draft updated code following the ruling. I have yet to receive that code from the EHRC. Once that happens, we will ensure that, as a Government, we consider it fully, as the House would expect.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