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Royal Assent</w:t>
      </w:r>
    </w:p>
    <w:p>
      <w:r>
        <w:rPr>
          <w:sz w:val="20"/>
        </w:rPr>
        <w:t>3 September 2025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https://hansard.parliament.uk/Commons/2025-09-03/debates/F129740A-05E4-49D0-A98F-7FF3035B85CA/RoyalAssent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have to notify the House, in accordance with the Royal Assent Act 1967, that the King has signified his Royal Assent to the following Acts:</w:t>
      </w:r>
    </w:p>
    <w:p>
      <w:r>
        <w:rPr>
          <w:sz w:val="22"/>
        </w:rPr>
        <w:t>Universal Credit Act 2025</w:t>
      </w:r>
    </w:p>
    <w:p>
      <w:r>
        <w:rPr>
          <w:sz w:val="22"/>
        </w:rPr>
        <w:t>Armed Forces Commissioner Act 2025.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