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Markets in Financial Instruments (Miscellaneous Amendments) Regulations 2025</w:t>
      </w:r>
    </w:p>
    <w:p>
      <w:r>
        <w:rPr>
          <w:sz w:val="20"/>
        </w:rPr>
        <w:t>3 September 2025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Finance and taxation</w:t>
      </w:r>
    </w:p>
    <w:p>
      <w:r>
        <w:rPr>
          <w:b/>
        </w:rPr>
        <w:t xml:space="preserve">Topics: </w:t>
      </w:r>
      <w:r>
        <w:rPr>
          <w:sz w:val="20"/>
        </w:rPr>
        <w:t>financial instruments regulations, markets regulation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https://hansard.parliament.uk/Lords/2025-09-03/debates/2E10DB7F-E933-4EC7-8BE6-27255500BD25/MarketsInFinancialInstrumentsMiscellaneousAmendmentsRegulations2025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Grand Committee do consider the Markets in Financial Instruments (Miscellaneous Amendments) Regulations 2025.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