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and Markets Act 2023 (Capital Buffers and Macro-prudential Measures) (Consequential Amendments) Regulations 2025</w:t>
      </w:r>
    </w:p>
    <w:p>
      <w:r>
        <w:rPr>
          <w:sz w:val="20"/>
        </w:rPr>
        <w:t>3 September 2025  ·  Lords  ·  Committee Stage</w:t>
      </w:r>
    </w:p>
    <w:p>
      <w:r>
        <w:rPr>
          <w:b/>
        </w:rPr>
        <w:t xml:space="preserve">Policy areas: </w:t>
      </w:r>
      <w:r>
        <w:rPr>
          <w:sz w:val="20"/>
        </w:rPr>
        <w:t>Economy, Finance and taxation</w:t>
      </w:r>
    </w:p>
    <w:p>
      <w:r>
        <w:rPr>
          <w:b/>
        </w:rPr>
        <w:t xml:space="preserve">Topics: </w:t>
      </w:r>
      <w:r>
        <w:rPr>
          <w:sz w:val="20"/>
        </w:rPr>
        <w:t>banking regulation, capital buffer regulations, macro-prudential measures, mifid framework, wholesale markets regulation</w:t>
      </w:r>
    </w:p>
    <w:p>
      <w:r>
        <w:rPr>
          <w:b/>
        </w:rPr>
        <w:t xml:space="preserve">Source: </w:t>
      </w:r>
      <w:r>
        <w:rPr>
          <w:sz w:val="20"/>
        </w:rPr>
        <w:t>https://hansard.parliament.uk/Lords/2025-09-03/debates/63B3E6E5-665D-42AE-82EF-81B9B4E2EAB2/FinancialServicesAndMarketsAct2023CapitalBuffersAndMacroprudentialMeasuresConsequentialAmendmentsRegulations2025</w:t>
      </w:r>
    </w:p>
    <w:p/>
    <w:p>
      <w:r>
        <w:rPr>
          <w:b/>
          <w:color w:val="1A4A6E"/>
          <w:sz w:val="22"/>
        </w:rPr>
        <w:t>Lord Wilson of Sedgefield</w:t>
      </w:r>
    </w:p>
    <w:p>
      <w:r>
        <w:rPr>
          <w:sz w:val="22"/>
        </w:rPr>
        <w:t>In moving these regulations, I shall speak also to the Markets in Financial Instruments (Miscellaneous Amendments) Regulations 2025.</w:t>
      </w:r>
    </w:p>
    <w:p>
      <w:r>
        <w:rPr>
          <w:sz w:val="22"/>
        </w:rPr>
        <w:t>These two technical instruments make practical changes that allow the Government to complete reforms to banking and wholesale markets regulation. Collectively, they ensure that our legislation for financial services remains effective and brings these areas of regulation in line with the model of regulation set by the Financial Services and Markets Act 2000—the FSMA model. The instruments do not introduce new burdens or policy for firms, and the changes have been widely supported by industry.</w:t>
      </w:r>
    </w:p>
    <w:p>
      <w:r>
        <w:rPr>
          <w:sz w:val="22"/>
        </w:rPr>
        <w:t>The Financial Services and Markets Act 2023 repealed assimilated law relating to financial services, subject to commencement by the Treasury. This approach allows our expert and independent regulators to replace detailed rules currently set in legislation with flexible, UK-tailored standards.</w:t>
      </w:r>
    </w:p>
    <w:p>
      <w:r>
        <w:rPr>
          <w:sz w:val="22"/>
        </w:rPr>
        <w:t>I will first address the Financial Services and Markets Act 2023 (Capital Buffers and Macro-prudential Measures) (Consequential Amendments) Regulations 2025. Noble Lords will be aware that banks are required to hold capital buffers, in addition to minimum capital requirements, to ensure that they have sufficient capacity to absorb losses while continuing to lend to the economy, even in times of stress. This short, technical instrument updates references to the capital buffer regulations in other legislation now that the underlying regulations have been restated through the powers in the Financial Services and Markets Act 2023.</w:t>
      </w:r>
    </w:p>
    <w:p>
      <w:r>
        <w:rPr>
          <w:sz w:val="22"/>
        </w:rPr>
        <w:t>The process to bring the capital buffer regulations in line with the FSMA model does three things. First, it revokes the 2014 capital buffers regulations—a piece of assimilated law that, under our FSMA model of regulation, is better situated in regulator rules. The Government are therefore replacing some of the revoked provisions with rules designed and maintained by the Prudential Regulation Authority and have restated a limited number of regulations that need to remain in legislation, with some operational improvements.</w:t>
      </w:r>
    </w:p>
    <w:p>
      <w:r>
        <w:rPr>
          <w:sz w:val="22"/>
        </w:rPr>
        <w:t>Secondly, it gives the Prudential Regulation Authority additional flexibility in setting two capital buffers that are derived from rules set internationally by the Basel committee: the capital conservation buffer and the global systemically important institutions, or GSII, buffer. Those buffers will now be set through PRA rule making rather than through legislation, upholding international standards while increasing the flexibility of regulation.</w:t>
      </w:r>
    </w:p>
    <w:p>
      <w:r>
        <w:rPr>
          <w:sz w:val="22"/>
        </w:rPr>
        <w:t>Thirdly, it preserves in legislation the policy frameworks of the two capital buffers that are set by the Bank of England’s Financial Policy Committee—the counter- cyclical capital buffer and the other systemically important institutions buffer—which will ensure that the FPC has a clear statutory basis on which to deploy these tools. It also makes operational modifications to improve the effectiveness of the framework by, for example, allowing the FPC to set the countercyclical capital buffer off-cycle, rather than being restricted to its quarterly setting, in case of a financial system emergency.</w:t>
      </w:r>
    </w:p>
    <w:p/>
    <w:p>
      <w:r>
        <w:rPr>
          <w:b/>
          <w:color w:val="1A4A6E"/>
          <w:sz w:val="22"/>
        </w:rPr>
        <w:t>Lord in Waiting/Government Whip (Lab)</w:t>
      </w:r>
    </w:p>
    <w:p>
      <w:r>
        <w:rPr>
          <w:sz w:val="22"/>
        </w:rPr>
        <w:t>My Lords, I thank the Minister for outlining what he identified as a very technical and detailed set of two instruments. I came into the Committee not sure whether I was going to speak or not. I listened very carefully to the Minister’s tone and, as I was doing that, I was looking at the Bank of England’s financial stability report from July 2025. It said that uncertainty around the global outlook has intensified. It says of financial markets that they have been highly volatile. Weakness in non-bank finance can amplify risk. It says of UK households and businesses that, overall, they continue to be resilient. I am not quite sure that that, particularly the last one on households, reflects the experience that many people who are listening to this Committee have—if they are very bored this afternoon. None the less, there we are.</w:t>
      </w:r>
    </w:p>
    <w:p>
      <w:r>
        <w:rPr>
          <w:sz w:val="22"/>
        </w:rPr>
        <w:t>Some of the things that the Minister said in the introduction concerned me slightly. One of them started with “widely supported by industry”. We are hopefully thinking about the national interest rather than just the interests of the financial sector and, perhaps, the wilder reaches of the financial sector. It was described as essential for companies operating these core businesses. We are talking about complex financial instrument derivatives here. From the words of the Minister, it is clear that the Government are heading in the same direction as the previous Government.</w:t>
      </w:r>
    </w:p>
    <w:p>
      <w:r>
        <w:rPr>
          <w:sz w:val="22"/>
        </w:rPr>
        <w:t>Of course, not just the apparent complexion of the Government but the global situation has changed tremendously, so I have one question for the Minister. Are the Government keeping under constant review the foundational conditions in which the financial sector is operating and ensuring that everything they do is not increasing the level of risks that the financial sector presents to the security of us all?</w:t>
      </w:r>
    </w:p>
    <w:p/>
    <w:p>
      <w:r>
        <w:rPr>
          <w:b/>
          <w:color w:val="1A4A6E"/>
          <w:sz w:val="22"/>
        </w:rPr>
        <w:t>Baroness Bennett of Manor Castle</w:t>
      </w:r>
    </w:p>
    <w:p>
      <w:r>
        <w:rPr>
          <w:sz w:val="22"/>
        </w:rPr>
        <w:t>My Lords, I recognise that these two statutory instruments deal with technical measures and in and of themselves have limited impact. They are essentially a tidy-up of the text to reflect broader changes made since Brexit to the financial regulatory system. The FSMA 2023 SI transfers to the PRA responsibility for setting the capital buffers that banks are required to hold in addition to minimum capital requirements. The PRA is a strong regulator, but it has taken a series of measures to move in the direction of lighter touch, motivated by its competitiveness and growth objective. I have spoken before about my concern that the PRA, for example, is increasingly willing to turn a blind eye to the illiquidity of assets. When powers are transferred to the PRA, as they are by this SI, a significant measure of transparency, accountability and parliamentary oversight disappears. Capital buffers are critical to the stability of the banking system, and I remain concerned when parliamentary oversight in this key area is significantly weakened, as it is by the measures that both surround and are then captured by this SI.</w:t>
      </w:r>
    </w:p>
    <w:p>
      <w:r>
        <w:rPr>
          <w:sz w:val="22"/>
        </w:rPr>
        <w:t>The second statutory instrument deals with the markets in financial instruments and again affects a transfer of power and responsibility, this time to both the FCA and the PRA. Once again, it is a move to a less transparent and less accountable system. The rules can now be changed, presumably in line with the smarter regulatory framework that the Government have put forward, and they both allow divergence from the EU and a lighter-touch approach. Divergence has its own risk, as it has implications for cross-border business, and Parliament will not have a voice any more than as a significant consultee. Frankly, experience suggests that the regulators look at Parliament’s views in these consultations and treat them as relatively irrelevant compared to the views of industry.</w:t>
      </w:r>
    </w:p>
    <w:p>
      <w:r>
        <w:rPr>
          <w:sz w:val="22"/>
        </w:rPr>
        <w:t>I note that the Minister described the regulators as expert, independent regulators. He would have used exactly that same phrasing before the 2007 crash, and we still live with the repercussions of that crash. Blind trust in the regulator is exceedingly inadvisable. I have tried in previous speeches to list some of the erosions of protections that were introduced after the crash. They include: the competitiveness and growth objective for regulators; the changing to matching adjustment; insolvency UK; significantly increasing the illiquidity of the insurance sector; the removal of the cap on bankers’ bonuses; the permanent permission for pension funds to transact derivatives without using central counterparties, thereby avoiding putting in place margin collateral, which puts them seriously at risk in any kind of financial volatility in unstable times; the watering down of the senior managers’ regime, which is key to accountability; the weakening of the financial ombudsman; the pressure on pension funds to invest in high-risk, illiquid assets; and the uncertainty that now exists around bank ring-fencing.</w:t>
      </w:r>
    </w:p>
    <w:p>
      <w:r>
        <w:rPr>
          <w:sz w:val="22"/>
        </w:rPr>
        <w:t>That is a partial list of the erosions that I have been able to pick up, and I am sure that, if the Government sat down and thought about it, they could come up with a far longer list and perhaps even suggest that this was a huge positive. But it is notable that Parliament will have no further say, now that these SIs have gone through, any more than just an ordinary consultee, in a further erosion of these various protections. Frankly, while Parliament will get reports that will allow it to look at the impact, that will be very much in retrospect, which I suggest is very late in the day.</w:t>
      </w:r>
    </w:p>
    <w:p>
      <w:r>
        <w:rPr>
          <w:sz w:val="22"/>
        </w:rPr>
        <w:t>I repeat a request that I have made before for the Government to publish a compendium of the changes that have been made that increase risk in the financial sector and a look at those risk implications. My view is that, without that degree of transparency, Parliament cannot do its proper job.</w:t>
      </w:r>
    </w:p>
    <w:p/>
    <w:p>
      <w:r>
        <w:rPr>
          <w:b/>
          <w:color w:val="1A4A6E"/>
          <w:sz w:val="22"/>
        </w:rPr>
        <w:t>Baroness Kramer</w:t>
      </w:r>
    </w:p>
    <w:p>
      <w:r>
        <w:rPr>
          <w:sz w:val="22"/>
        </w:rPr>
        <w:t>My Lords, I thank the Minister for his clear explanation of these statutory instruments and the noble Baroness, Lady Kramer, for her gloss on that.</w:t>
      </w:r>
    </w:p>
    <w:p>
      <w:r>
        <w:rPr>
          <w:sz w:val="22"/>
        </w:rPr>
        <w:t>Today we are considering the instrument on capital buffers as well as the Markets in Financial Instruments (Miscellaneous Amendments) Regulations. While each is described as largely technical, both help to shape the future of our financial regulatory framework. Obviously we on these Benches are happy to consider them together and to raise some questions about how they link to the Government’s wider ambitions for stability, innovation and growth.</w:t>
      </w:r>
    </w:p>
    <w:p>
      <w:r>
        <w:rPr>
          <w:sz w:val="22"/>
        </w:rPr>
        <w:t>We recognise that both instruments form part of the wider process of revoking retained EU law and restating and embedding that in the smarter regulatory framework under the Financial Services and Markets Act 2023. It is important that our regime is clear and coherent and reflects the institutional responsibilities of the regulators, whether the Prudential Regulation Authority, the Bank of England’s Financial Policy Committee or the Financial Conduct Authority.</w:t>
      </w:r>
    </w:p>
    <w:p>
      <w:r>
        <w:rPr>
          <w:sz w:val="22"/>
        </w:rPr>
        <w:t>For me, the most important current issue for the financial regulators is whether they are really adjusting their rules, their outlook and their culture to pursue growth and competitiveness, as they were recently required to do. Is the Minister in a position to assure us that the PRA and FCA have taken vigorous action to meet the Government’s requests and instructions on this vital point? I recall that the Chancellor wrote to them last autumn. What were the key demands, and what did they do in reply? What are the opportunities for growth, bearing in mind the current challenges outlined by the noble Baronesses, Lady Bennett and Lady Kramer? Although I do not agree with all that they said, I think it is important to debate that.</w:t>
      </w:r>
    </w:p>
    <w:p>
      <w:r>
        <w:rPr>
          <w:sz w:val="22"/>
        </w:rPr>
        <w:t>I have a few other questions. On capital buffers, while the instrument is described as technical, it involves substantive changes in transferring responsibility for buffers, such as the capital conservation buffer and the global systemically important institutions buffer, to the PRA. Can the Minister clarify how the Government will ensure sufficient parliamentary oversight of these crucial prudential tools, now that they will be set directly by the regulator? As the noble Baroness, Lady Kramer, said, it is now a less transparent system, so Parliament needs a strong voice in the post-EU world.</w:t>
      </w:r>
    </w:p>
    <w:p>
      <w:r>
        <w:rPr>
          <w:sz w:val="22"/>
        </w:rPr>
        <w:t>Of course, capital buffers are at the heart of keeping our financial system stable. We learned in painful ways during the financial crisis what happens when banks lack the resilience that they need in times of stress. The framework we have now is well established, but risks are evolving all the time. Can the Minister share the Government’s view on whether today’s capital requirements are still fit for purpose, particularly in the light of the growing challenges from shadow banking, digital assets and climate-related exposures?</w:t>
      </w:r>
    </w:p>
    <w:p>
      <w:r>
        <w:rPr>
          <w:sz w:val="22"/>
        </w:rPr>
        <w:t>We note that the second instrument retains certain key definitions from the MiFID organisational regulation, while paving the way, as the Minister said, for the revocation of firm-facing provisions. The intention is to allow the FCA and the PRA to take forward responsibility for detailed rules, tailoring them more closely to the needs of the UK market. The Minister has explained the rationale for that, but I ask him to expand on how these changes will not only safeguard market integrity and, I think he said, prevent the gaps that might arise—but encourage innovation and investment and growth, which I think we all agree that we need if the economy is to move forward positively.</w:t>
      </w:r>
    </w:p>
    <w:p>
      <w:r>
        <w:rPr>
          <w:sz w:val="22"/>
        </w:rPr>
        <w:t>What steps will the Treasury take to ensure that regulators’ rule-making in this area is aligned with the broader ambition of using financial services as a driver of economic prosperity, the point I addressed earlier?</w:t>
      </w:r>
    </w:p>
    <w:p/>
    <w:p>
      <w:r>
        <w:rPr>
          <w:b/>
          <w:color w:val="1A4A6E"/>
          <w:sz w:val="22"/>
        </w:rPr>
        <w:t>Baroness Neville-Rolfe</w:t>
      </w:r>
    </w:p>
    <w:p>
      <w:r>
        <w:rPr>
          <w:sz w:val="22"/>
        </w:rPr>
        <w:t>I thank the noble Baronesses for their questions and remarks on what are really technical issues. There is no real policy change, but the issues are none the less important. As the noble Baronesses said, one of the key issues is that we want to ensure that the economy grows. As far as our financial regulation infrastructure is concerned, it is always welcome to have heard from the IMF that the architecture that we have now is some of the best of its kind in the world. The IMF also endorsed the Government’s fiscal plans as striking</w:t>
      </w:r>
    </w:p>
    <w:p>
      <w:r>
        <w:rPr>
          <w:sz w:val="22"/>
        </w:rPr>
        <w:t>“a good balance between supporting growth and safeguarding fiscal sustainability”.</w:t>
      </w:r>
    </w:p>
    <w:p>
      <w:r>
        <w:rPr>
          <w:sz w:val="22"/>
        </w:rPr>
        <w:t>In answer to the noble Baroness, Lady Bennett, the Government are committed to upholding financial stability, which is a prerequisite of our position as a leading global financial centre. This is about rebalancing our approach to risk and pushing back on some of the mission creep that we have seen over the past decade. There is scope to do this while continuing to protect financial stability, and obviously we will always keep this under review, which was one of the noble Baroness’s questions.</w:t>
      </w:r>
    </w:p>
    <w:p>
      <w:r>
        <w:rPr>
          <w:sz w:val="22"/>
        </w:rPr>
        <w:t>The noble Baroness, Lady Kramer, asked about parliamentary scrutiny and how Parliament will continue to scrutinise what the FCA and the PRA are going to do. They are independent non-governmental organisations and their independence is vital to their role. However, they are fully accountable to the Government and Parliament for how they exercise their functions, and this accountability is critical to ensure that they are advancing the objectives given to them by Parliament and performing at the optimum.</w:t>
      </w:r>
    </w:p>
    <w:p>
      <w:r>
        <w:rPr>
          <w:sz w:val="22"/>
        </w:rPr>
        <w:t>There were other questions about whether we are giving regulators too much power. We do not believe we are. We have a flexible system. Some of it is still going to be in legislation; some of it is going to be in regulation. The flexibility is there to ensure that the one thing that we create is growth in the economy. To the noble Baroness, Lady Neville-Rolfe, I say it helps to deliver growth because growth is our ultimate ambition. To achieve this, the Government have announced the most extensive package of financial service reforms in over a decade. Reform will unlock growth by increasing the global competitiveness of the sector, reducing unnecessary regulatory burden, spurring the sector’s confidence and boosting innovation and opportunities, which is one of the issues that the noble Baroness raised. Obviously, it is about flexibility, and we need to ensure that we remain flexible in our approach to these regulations and continue to keep them under review.</w:t>
      </w:r>
    </w:p>
    <w:p>
      <w:r>
        <w:rPr>
          <w:sz w:val="22"/>
        </w:rPr>
        <w:t>We believe that these technical statutory instruments do that. It will be for the FCA and the PRA to decide how to streamline and improve their rulebooks. The FCA has already published a discussion paper seeking views on organisational and conduct rules that could be removed or simplified. It has also announced work to review who can be treated as a professional investor, another key plank of the current framework.</w:t>
      </w:r>
    </w:p>
    <w:p>
      <w:r>
        <w:rPr>
          <w:sz w:val="22"/>
        </w:rPr>
        <w:t>I hope this answers many of the questions that were asked. If there are any that I have left out, I am sure that we can write to noble Lords.</w:t>
      </w:r>
    </w:p>
    <w:p/>
    <w:p>
      <w:r>
        <w:rPr>
          <w:b/>
          <w:color w:val="1A4A6E"/>
          <w:sz w:val="22"/>
        </w:rPr>
        <w:t>Lord Wilson of Sedgefield</w:t>
      </w:r>
    </w:p>
    <w:p>
      <w:r>
        <w:rPr>
          <w:sz w:val="22"/>
        </w:rPr>
        <w:t>That was extremely helpful, especially the direction of travel in terms of reform. I would be very interested to know what the growth questions to the PRA and the FCA were. The letters were written last autumn. The Minister has repeated the vision, as it were, and has talked about flexibility, which can be very useful. If the Minister could reflect a bit further on that and on transparency—emphasised by the noble Baroness, Lady Kramer—that would be great. Are the regulators being transparent in the way that they move forward? That is another way that we are able to feed in and criticise if we are not happy.</w:t>
      </w:r>
    </w:p>
    <w:p>
      <w:r>
        <w:rPr>
          <w:sz w:val="22"/>
        </w:rPr>
        <w:t>My other point perhaps goes wider than this debate, but I asked how the Government were getting on with the process of making these post-EU regulations. I do not know whether the Minister can answer that now, but if not, it would be helpful to hear separately on that.</w:t>
      </w:r>
    </w:p>
    <w:p/>
    <w:p>
      <w:r>
        <w:rPr>
          <w:b/>
          <w:color w:val="1A4A6E"/>
          <w:sz w:val="22"/>
        </w:rPr>
        <w:t>Baroness Neville-Rolfe</w:t>
      </w:r>
    </w:p>
    <w:p>
      <w:r>
        <w:rPr>
          <w:sz w:val="22"/>
        </w:rPr>
        <w:t>I do not know exactly where we are with working our way through the EU regulations et cetera and decoupling where we think it is necessary to decouple. I am sure that we can write in some respects. I am sure that we will be doing it diligently in the best interests of the UK and our international standing. On the other issues, I should have mentioned the Leeds reforms which were mentioned on 15 July. The changes will help UK banks to compete internationally and provide the vital investment required to drive growth in the economy. We are implementing the Basel III.1 arrangements on international banking by delaying investment banking requirements until 2028 and implementing other requirements in 2027 and communicating that the Treasury will avoid ring-fencing and that the PRA will undertake a review and report by early 2026. There is a lot going on in this area. The Leeds reforms are critical to that. What drives all this is the fact that we are pursuing growth. That is the one thing that we want to achieve.</w:t>
      </w:r>
    </w:p>
    <w:p/>
    <w:p>
      <w:r>
        <w:rPr>
          <w:b/>
          <w:color w:val="1A4A6E"/>
          <w:sz w:val="22"/>
        </w:rPr>
        <w:t>Lord Wilson of Sedgefield</w:t>
      </w:r>
    </w:p>
    <w:p>
      <w:r>
        <w:rPr>
          <w:sz w:val="22"/>
        </w:rPr>
        <w:t>I support the objective of growth. I used to be a Treasury Minister and I know that the Treasury will move forward, but it would be good to get this process done.</w:t>
      </w:r>
    </w:p>
    <w:p/>
    <w:p>
      <w:r>
        <w:rPr>
          <w:b/>
          <w:color w:val="1A4A6E"/>
          <w:sz w:val="22"/>
        </w:rPr>
        <w:t>Baroness Neville-Rolfe</w:t>
      </w:r>
    </w:p>
    <w:p>
      <w:r>
        <w:rPr>
          <w:sz w:val="22"/>
        </w:rPr>
        <w:t>I welcome the Opposition’s support.</w:t>
      </w:r>
    </w:p>
    <w:p/>
    <w:p>
      <w:r>
        <w:rPr>
          <w:b/>
          <w:color w:val="1A4A6E"/>
          <w:sz w:val="22"/>
        </w:rPr>
        <w:t>Lord Wilson of Sedgefield</w:t>
      </w:r>
    </w:p>
    <w:p>
      <w:r>
        <w:rPr>
          <w:sz w:val="22"/>
        </w:rPr>
        <w:t>I welcome the Opposition’s support.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