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Buckinghamshire Council, Surrey County Council and Warwickshire County Council (Housing and Regeneration Functions) Regulations 2025</w:t>
      </w:r>
    </w:p>
    <w:p>
      <w:r>
        <w:rPr>
          <w:sz w:val="20"/>
        </w:rPr>
        <w:t>3 September 2025  ·  Lords  ·  Committee Stage</w:t>
      </w:r>
    </w:p>
    <w:p>
      <w:r>
        <w:rPr>
          <w:b/>
        </w:rPr>
        <w:t xml:space="preserve">Policy areas: </w:t>
      </w:r>
      <w:r>
        <w:rPr>
          <w:sz w:val="20"/>
        </w:rPr>
        <w:t>Economy, Education, training and skills, Government and public administration, Housing and planning</w:t>
      </w:r>
    </w:p>
    <w:p>
      <w:r>
        <w:rPr>
          <w:b/>
        </w:rPr>
        <w:t xml:space="preserve">Topics: </w:t>
      </w:r>
      <w:r>
        <w:rPr>
          <w:sz w:val="20"/>
        </w:rPr>
        <w:t>devolution of housing functions, local authority functions, local regeneration powers, skills devolution</w:t>
      </w:r>
    </w:p>
    <w:p>
      <w:r>
        <w:rPr>
          <w:b/>
        </w:rPr>
        <w:t xml:space="preserve">Source: </w:t>
      </w:r>
      <w:r>
        <w:rPr>
          <w:sz w:val="20"/>
        </w:rPr>
        <w:t>https://hansard.parliament.uk/Lords/2025-09-03/debates/C9085E75-8BC0-4B5A-A89D-6A57D1625B48/BuckinghamshireCouncilSurreyCountyCouncilAndWarwickshireCountyCouncilHousingAndRegenerationFunctionsRegulations2025</w:t>
      </w:r>
    </w:p>
    <w:p/>
    <w:p>
      <w:r>
        <w:rPr>
          <w:b/>
          <w:color w:val="1A4A6E"/>
          <w:sz w:val="22"/>
        </w:rPr>
        <w:t>Baroness Taylor of Stevenage</w:t>
      </w:r>
    </w:p>
    <w:p>
      <w:r>
        <w:rPr>
          <w:sz w:val="22"/>
        </w:rPr>
        <w:t>My Lords, these regulations were laid before the House on 9 June and provide for the implementation of the devolution deals confirmed on 6 March 2024 between the previous Government and the three councils concerned. This Government have shown their commitment to devolution, moving power from the centre and into the hands of local communities. In May 2025, all three councils consented to the making of this instrument.</w:t>
      </w:r>
    </w:p>
    <w:p>
      <w:r>
        <w:rPr>
          <w:sz w:val="22"/>
        </w:rPr>
        <w:t>If Parliament approves them, the regulations will be made under the enabling provision in the Cities and Local Government Devolution Act 2016. The provisions of the regulations will come into force on the day after the day the regulations are made. The regulations confer housing and regeneration functions on the respective councils, as set out in their devolution agreements. As required, alongside the regulations, we have laid a Section 17(6) report providing details about the public authority functions being devolved to the councils.</w:t>
      </w:r>
    </w:p>
    <w:p>
      <w:r>
        <w:rPr>
          <w:sz w:val="22"/>
        </w:rPr>
        <w:t>Additional funding will be available to the three areas through the adult skills fund, to be devolved to the councils from the 2026-27 academic year, alongside education and skills functions. The Department for Education will work with the councils to support their preparations and aid their meeting the necessary readiness criteria. The Government will legislate in due course, when the Secretary of State for Education is assured that the councils are operationally ready and is satisfied that the required statutory tests have been met in each area.</w:t>
      </w:r>
    </w:p>
    <w:p>
      <w:r>
        <w:rPr>
          <w:sz w:val="22"/>
        </w:rPr>
        <w:t>In December 2024, the three councils submitted supporting information on their potential use of the proposed functions. For this, they had engaged with local stakeholders, which showed local support for the conferral of the new functions upon each of these councils. In laying this instrument before Parliament, the Secretary of State is satisfied that the statutory tests in the 2016 Act are met; namely, that the making of the regulations is likely to improve the economic, social and environmental well-being of some or all of the people who live or work in the relevant local authorities’ areas.</w:t>
      </w:r>
    </w:p>
    <w:p>
      <w:r>
        <w:rPr>
          <w:sz w:val="22"/>
        </w:rPr>
        <w:t>To conclude, these regulations will move forward this Government’s agenda of English devolution, empowering local leaders to make decisions that will benefit their communities. I extend my thanks to the local leaders and their councils for their hard work and the vital role that they play in making this critical mission a reality in their areas. I hope that noble Lords will join me in supporting the draft regulations, which I commend to the Committee. I beg to move.</w:t>
      </w:r>
    </w:p>
    <w:p/>
    <w:p>
      <w:r>
        <w:rPr>
          <w:b/>
          <w:color w:val="1A4A6E"/>
          <w:sz w:val="22"/>
        </w:rPr>
        <w:t>The Parliamentary Under-Secretary of State, Ministry of Housing, Communities and Local Government (Lab)</w:t>
      </w:r>
    </w:p>
    <w:p>
      <w:r>
        <w:rPr>
          <w:sz w:val="22"/>
        </w:rPr>
        <w:t>My Lords, I refer to my interest as a councillor in central Bedfordshire. I support this statutory instrument, which confers housing and regeneration functions upon Buckinghamshire Council, Surrey County Council and Warwickshire County Council, to be exercised concurrently with Homes England. This instrument follows the level 2 devolution framework arrangements made in March 2024 between the previous Conservative Government and the three local authorities, as the Minister has rightly outlined.</w:t>
      </w:r>
    </w:p>
    <w:p>
      <w:r>
        <w:rPr>
          <w:sz w:val="22"/>
        </w:rPr>
        <w:t>The regulations grant a suite of powers relating to housing and regeneration. Specifically, they enable councils to take on responsibility for the provision of housing, regeneration of land and infrastructure, and the acquisition and disposal of land. These are important functions previously held by Homes England. As a councillor and ex-council leader, I know how doing this locally is so much better than doing it nationally. It allows things to be done in a way that delivers better outcomes for residents, frequently at lower cost.</w:t>
      </w:r>
    </w:p>
    <w:p>
      <w:r>
        <w:rPr>
          <w:sz w:val="22"/>
        </w:rPr>
        <w:t>We on these Benches support these measures and welcome the Government’s continued commitment to advancing devolution in these areas. The statutory instrument, as the Minister has already laid out, honours the agreement made in good faith by local leaders under the previous Government and reflects what we hope will remain a shared cross-party commitment to empowering local communities to shape their own future.</w:t>
      </w:r>
    </w:p>
    <w:p>
      <w:r>
        <w:rPr>
          <w:sz w:val="22"/>
        </w:rPr>
        <w:t>In the cases of Surrey and Warwickshire, the inclusion of a safeguard requiring district council consent for the use of compulsory purchase orders under the Housing and Regeneration Act 2008 is a particularly welcome provision. It recognises the reality of two-tier local government in those areas and helps preserve the principle of local democratic accountability. We welcome the Minister’s confirmation that these powers cannot be exercised without that consent.</w:t>
      </w:r>
    </w:p>
    <w:p>
      <w:r>
        <w:rPr>
          <w:sz w:val="22"/>
        </w:rPr>
        <w:t>We are also mindful that these arrangements come at a time of wider transition in the local government landscape. As the Government prepare to introduce the English Devolution and Community Empowerment Bill, we would welcome clarity in due course on how existing level 2 agreements, such as those we are discussing today, will align with any new combined authority or mayoral structures that may follow in these areas.</w:t>
      </w:r>
    </w:p>
    <w:p>
      <w:r>
        <w:rPr>
          <w:sz w:val="22"/>
        </w:rPr>
        <w:t>In conclusion, we believe that this statutory instrument is a positive and practical step. It strengthens local leadership and provides councils with important tools to deliver housing, regenerate communities and respond to local priorities. It is right that we uphold the commitments made through the devolution framework agreements; we are pleased to support the implementation of this measure today.</w:t>
      </w:r>
    </w:p>
    <w:p/>
    <w:p>
      <w:r>
        <w:rPr>
          <w:b/>
          <w:color w:val="1A4A6E"/>
          <w:sz w:val="22"/>
        </w:rPr>
        <w:t>Lord Jamieson</w:t>
      </w:r>
    </w:p>
    <w:p>
      <w:r>
        <w:rPr>
          <w:sz w:val="22"/>
        </w:rPr>
        <w:t>I am grateful for the support of the noble Lord, Lord Jamieson, for this instrument. He is a fellow council leader; we often discussed these matters when we were both council leaders. I totally support what he said about decisions being better taken at the local level than by central government when they affect local areas, and I appreciate both his comments and his support for the instrument.</w:t>
      </w:r>
    </w:p>
    <w:p>
      <w:r>
        <w:rPr>
          <w:sz w:val="22"/>
        </w:rPr>
        <w:t>I will comment on the noble Lord’s points about the integration of these proposals with what is happening with the English Devolution and Community Empowerment Bill, which, as we know, had its Second Reading in the other place yesterday. The noble Lord will be aware that the Government’s strong preference is for partnerships that bring more than one local authority together over a larger geography, to unlock further devolution. These steps are seen very much as foundation steps towards achieving that.</w:t>
      </w:r>
    </w:p>
    <w:p>
      <w:r>
        <w:rPr>
          <w:sz w:val="22"/>
        </w:rPr>
        <w:t>On the areas under discussion today, Buckinghamshire Council will need to form a mayoral strategic authority over more than one council footprint. These regulations will ensure that Surrey will see early benefits from devolution in the short term as all options to unlock deeper devolution are assessed. As the noble Lord, Lord Jamieson, will be aware, the Government recently consulted on two proposals that came forward for unitary local government in Surrey; a decision will be made on which of those proposals to implement.</w:t>
      </w:r>
    </w:p>
    <w:p>
      <w:r>
        <w:rPr>
          <w:sz w:val="22"/>
        </w:rPr>
        <w:t>These regulations will ensure that Warwickshire also sees early benefits from devolution in the short term as all options to unlock deeper devolution are assessed. The Government recently invited proposals for unitary local government in Warwickshire; we look forward to hearing from local government colleagues there when we get closer to those being submitted.</w:t>
      </w:r>
    </w:p>
    <w:p>
      <w:r>
        <w:rPr>
          <w:sz w:val="22"/>
        </w:rPr>
        <w:t>In conclusion, the instrument delivers on the commitment made in devolution agreements with Buckinghamshire, Surrey and Warwickshire councils to confer housing and regeneration functions on each local authority. I am grateful for the support for it.</w:t>
      </w:r>
    </w:p>
    <w:p/>
    <w:p>
      <w:r>
        <w:rPr>
          <w:b/>
          <w:color w:val="1A4A6E"/>
          <w:sz w:val="22"/>
        </w:rPr>
        <w:t>Baroness Taylor of Stevenage</w:t>
      </w:r>
    </w:p>
    <w:p>
      <w:r>
        <w:rPr>
          <w:sz w:val="22"/>
        </w:rPr>
        <w:t>I am grateful for the support of the noble Lord, Lord Jamieson, for this instrument. He is a fellow council leader; we often discussed these matters when we were both council leaders. I totally support what he said about decisions being better taken at the local level than by central government when they affect local areas, and I appreciate both his comments and his support for the instrument. I will comment on the noble Lord’s points about the integration of these proposals with what is happening with the English Devolution and Community Empowerment Bill, which, as we know, had its Second Reading in the other place yesterday. The noble Lord will be aware that the Government’s strong preference is for partnerships that bring more than one local authority together over a larger geography, to unlock further devolution. These steps are seen very much as foundation steps towards achieving that. On the areas under discussion today, Buckinghamshire Council will need to form a mayoral strategic authority over more than one council footprint. These regulations will ensure that Surrey will see early benefits from devolution in the short term as all options to unlock deeper devolution are assessed. As the noble Lord, Lord Jamieson, will be aware, the Government recently consulted on two proposals that came forward for unitary local government in Surrey; a decision will be made on which of those proposals to implement. These regulations will ensure that Warwickshire also sees early benefits from devolution in the short term as all options to unlock deeper devolution are assessed. The Government recently invited proposals for unitary local government in Warwickshire; we look forward to hearing from local government colleagues there when we get closer to those being submitted. In conclusion, the instrument delivers on the commitment made in devolution agreements with Buckinghamshire, Surrey and Warwickshire councils to confer housing and regeneration functions on each local authority. I am grateful for the support for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