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potential divisions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https://hansard.parliament.uk/Lords/2025-11-03/debates/ED850EE3-D084-4AE6-B363-67A289406B5D/ArrangementOfBusiness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As Members know, on many occasions at the start of a session in the Committee Room, a pro forma notice is given about the possibility of a Division. Today, in view of the business in the House, it is entirely possible that there will be Divisions. If there is one, we will adjourn the Committee immediately for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