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Deputy Chairmen of Committees</w:t>
      </w:r>
    </w:p>
    <w:p>
      <w:r>
        <w:rPr>
          <w:sz w:val="20"/>
        </w:rPr>
        <w:t>3 March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https://hansard.parliament.uk/Lords/2026-03-03/debates/9EAE434B-5A0D-4DFB-8621-9F6927747391/DeputyChairmenOfCommittees</w:t>
      </w:r>
    </w:p>
    <w:p/>
    <w:p>
      <w:r>
        <w:rPr>
          <w:b/>
          <w:color w:val="1A4A6E"/>
          <w:sz w:val="22"/>
        </w:rPr>
        <w:t>Lord Gardiner of Kimble (The Senior Deputy Speaker)</w:t>
      </w:r>
    </w:p>
    <w:p>
      <w:r>
        <w:rPr>
          <w:sz w:val="22"/>
        </w:rPr>
        <w:t>My Lords, I beg to move the three Motions standing in my name on the Order Paper en bloc. In doing so, I place on record my considerable thanks to deputies past and present, who are so integral, indeed essential, to the work of your Lordships’ House.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