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w:t>
      </w:r>
    </w:p>
    <w:p>
      <w:r>
        <w:rPr>
          <w:sz w:val="20"/>
        </w:rPr>
        <w:t>3 July 2025  ·  Commons  ·  Oral Questions</w:t>
      </w:r>
    </w:p>
    <w:p>
      <w:r>
        <w:rPr>
          <w:b/>
        </w:rPr>
        <w:t xml:space="preserve">Policy areas: </w:t>
      </w:r>
      <w:r>
        <w:rPr>
          <w:sz w:val="20"/>
        </w:rPr>
        <w:t>Children and families, Society and culture, Welfare and benefits</w:t>
      </w:r>
    </w:p>
    <w:p>
      <w:r>
        <w:rPr>
          <w:b/>
        </w:rPr>
        <w:t xml:space="preserve">Topics: </w:t>
      </w:r>
      <w:r>
        <w:rPr>
          <w:sz w:val="20"/>
        </w:rPr>
        <w:t>child poverty, church social action, food banks, two-child benefit cap, warm spaces</w:t>
      </w:r>
    </w:p>
    <w:p>
      <w:r>
        <w:rPr>
          <w:b/>
        </w:rPr>
        <w:t xml:space="preserve">Source: </w:t>
      </w:r>
      <w:r>
        <w:rPr>
          <w:sz w:val="20"/>
        </w:rPr>
        <w:t>https://hansard.parliament.uk/Commons/2025-07-03/debates/645F0EE9-E2F5-4A51-9EBD-069308A1C854/Poverty</w:t>
      </w:r>
    </w:p>
    <w:p/>
    <w:p>
      <w:r>
        <w:rPr>
          <w:b/>
          <w:color w:val="1A4A6E"/>
          <w:sz w:val="22"/>
        </w:rPr>
        <w:t>Emma Lewell (Lab)</w:t>
      </w:r>
    </w:p>
    <w:p>
      <w:r>
        <w:rPr>
          <w:sz w:val="22"/>
        </w:rPr>
        <w:t>11. What steps the Church of England is taking to help to tackle poverty.</w:t>
      </w:r>
    </w:p>
    <w:p/>
    <w:p>
      <w:r>
        <w:rPr>
          <w:b/>
          <w:color w:val="1A4A6E"/>
          <w:sz w:val="22"/>
        </w:rPr>
        <w:t>Marsha De Cordova</w:t>
      </w:r>
    </w:p>
    <w:p>
      <w:r>
        <w:rPr>
          <w:sz w:val="22"/>
        </w:rPr>
        <w:t>Churches and all our faith communities make a powerful difference in the lives of all our constituents every single day, and Church of England parishes provide more than 31,000 social action projects in church schools and educate millions of children each day. Parish initiatives include food banks, credit unions, warm spaces, school clubs and other forms of family support.</w:t>
      </w:r>
    </w:p>
    <w:p/>
    <w:p>
      <w:r>
        <w:rPr>
          <w:b/>
          <w:color w:val="1A4A6E"/>
          <w:sz w:val="22"/>
        </w:rPr>
        <w:t>Emma Lewell</w:t>
      </w:r>
    </w:p>
    <w:p>
      <w:r>
        <w:rPr>
          <w:sz w:val="22"/>
        </w:rPr>
        <w:t>For too long, charities, faith groups and churches such as my own, St Bede’s, have been supporting people struggling to get by. Does my hon. Friend agree that our child poverty taskforce needs to seriously consider scrapping the awful two-child benefit cap, because relying on charity to lift children out of poverty is simply unsustainable?</w:t>
      </w:r>
    </w:p>
    <w:p/>
    <w:p>
      <w:r>
        <w:rPr>
          <w:b/>
          <w:color w:val="1A4A6E"/>
          <w:sz w:val="22"/>
        </w:rPr>
        <w:t>Marsha De Cordova</w:t>
      </w:r>
    </w:p>
    <w:p>
      <w:r>
        <w:rPr>
          <w:sz w:val="22"/>
        </w:rPr>
        <w:t>My hon. Friend makes an important point. Everyone has a responsibility to tackle child poverty, and we should all commend and thank the Church for the role it has played in this space. I know that the Bishop of Derby hosted Baroness Sherlock, the child poverty unit and colleagues for a roundtable, where many issues were discussed.</w:t>
      </w:r>
    </w:p>
    <w:p/>
    <w:p>
      <w:r>
        <w:rPr>
          <w:b/>
          <w:color w:val="1A4A6E"/>
          <w:sz w:val="22"/>
        </w:rPr>
        <w:t>Neil O’Brien (Con)</w:t>
      </w:r>
    </w:p>
    <w:p>
      <w:r>
        <w:rPr>
          <w:sz w:val="22"/>
        </w:rPr>
        <w:t>Churches across the country are doing amazing work tackling poverty, but they could be doing more. Many of my constituents will be surprised that the Church Commissioners have already spent £5 million on Project Spire when it is not within their charitable objectives, and that they plan to spend £100 million when the Charity Commission has not signed that off. Why are the Church Commissioners doing something that is not within their charitable objectives?</w:t>
      </w:r>
    </w:p>
    <w:p/>
    <w:p>
      <w:r>
        <w:rPr>
          <w:b/>
          <w:color w:val="1A4A6E"/>
          <w:sz w:val="22"/>
        </w:rPr>
        <w:t>Marsha De Cordova</w:t>
      </w:r>
    </w:p>
    <w:p>
      <w:r>
        <w:rPr>
          <w:sz w:val="22"/>
        </w:rPr>
        <w:t>No decision has been taken on that. When the board of governors and the Church of Commissioners make that decision, they will follow the right processes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