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Charities: National Insurance Contributions</w:t>
      </w:r>
    </w:p>
    <w:p>
      <w:r>
        <w:rPr>
          <w:sz w:val="20"/>
        </w:rPr>
        <w:t>3 July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charity sector funding, employer national insurance, public finances, tax changes impact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https://hansard.parliament.uk/Commons/2025-07-03/debates/17764789-0FB7-462B-80F7-96A367CF2C17/CharitiesNationalInsuranceContributions</w:t>
      </w:r>
    </w:p>
    <w:p/>
    <w:p>
      <w:r>
        <w:rPr>
          <w:b/>
          <w:color w:val="1A4A6E"/>
          <w:sz w:val="22"/>
        </w:rPr>
        <w:t>Sir Desmond Swayne (Con)</w:t>
      </w:r>
    </w:p>
    <w:p>
      <w:r>
        <w:rPr>
          <w:sz w:val="22"/>
        </w:rPr>
        <w:t>8. What recent assessment she has made of the potential impact of changes to employer national insurance contributions on charities.</w:t>
      </w:r>
    </w:p>
    <w:p/>
    <w:p>
      <w:r>
        <w:rPr>
          <w:b/>
          <w:color w:val="1A4A6E"/>
          <w:sz w:val="22"/>
        </w:rPr>
        <w:t>Stephanie Peacock (The Parliamentary Under-Secretary of State for Culture, Media and Sport)</w:t>
      </w:r>
    </w:p>
    <w:p>
      <w:r>
        <w:rPr>
          <w:sz w:val="22"/>
        </w:rPr>
        <w:t>The Government highly value the charity sector and its positive contribution. However, we have had to take a number of difficult decisions on tax, welfare and spending to fix the public finances, fund public services and restore economic stability.</w:t>
      </w:r>
    </w:p>
    <w:p/>
    <w:p>
      <w:r>
        <w:rPr>
          <w:b/>
          <w:color w:val="1A4A6E"/>
          <w:sz w:val="22"/>
        </w:rPr>
        <w:t>Sir Desmond Swayne</w:t>
      </w:r>
    </w:p>
    <w:p>
      <w:r>
        <w:rPr>
          <w:sz w:val="22"/>
        </w:rPr>
        <w:t>The National Council for Voluntary Organisations puts the cost at £1.4 billion. That is right, isn’t it?</w:t>
      </w:r>
    </w:p>
    <w:p/>
    <w:p>
      <w:r>
        <w:rPr>
          <w:b/>
          <w:color w:val="1A4A6E"/>
          <w:sz w:val="22"/>
        </w:rPr>
        <w:t>Stephanie Peacock</w:t>
      </w:r>
    </w:p>
    <w:p>
      <w:r>
        <w:rPr>
          <w:sz w:val="22"/>
        </w:rPr>
        <w:t>I reiterate that we really value the charity sector, but we have had to make some very difficult decisions.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